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02A96" w14:textId="41002D77" w:rsidR="00CE653B" w:rsidRDefault="00955B3F" w:rsidP="00955B3F">
      <w:pPr>
        <w:jc w:val="center"/>
      </w:pPr>
      <w:r>
        <w:t xml:space="preserve">Reposta </w:t>
      </w:r>
      <w:r w:rsidR="00784AC2">
        <w:t>a</w:t>
      </w:r>
      <w:bookmarkStart w:id="0" w:name="_GoBack"/>
      <w:bookmarkEnd w:id="0"/>
      <w:r>
        <w:t xml:space="preserve">o Recurso Administrativo </w:t>
      </w:r>
    </w:p>
    <w:p w14:paraId="7798968D" w14:textId="77777777" w:rsidR="00955B3F" w:rsidRDefault="00955B3F" w:rsidP="00955B3F">
      <w:pPr>
        <w:jc w:val="center"/>
      </w:pPr>
    </w:p>
    <w:p w14:paraId="724C7EB8" w14:textId="6F77557D" w:rsidR="00955B3F" w:rsidRPr="00211DA0" w:rsidRDefault="00955B3F" w:rsidP="00955B3F">
      <w:pPr>
        <w:rPr>
          <w:rFonts w:cs="Calibri"/>
        </w:rPr>
      </w:pPr>
      <w:r>
        <w:tab/>
      </w:r>
      <w:r w:rsidRPr="00211DA0">
        <w:rPr>
          <w:rFonts w:cs="Calibri"/>
        </w:rPr>
        <w:t>Processo Administrativo</w:t>
      </w:r>
      <w:r w:rsidR="00211DA0" w:rsidRPr="00211DA0">
        <w:t xml:space="preserve"> SEI! </w:t>
      </w:r>
      <w:r w:rsidR="00211DA0" w:rsidRPr="00211DA0">
        <w:rPr>
          <w:rFonts w:cs="Calibri"/>
        </w:rPr>
        <w:t>9079615110000507.000009/2024-72</w:t>
      </w:r>
      <w:r w:rsidRPr="00211DA0">
        <w:rPr>
          <w:rFonts w:cs="Calibri"/>
        </w:rPr>
        <w:t xml:space="preserve"> –</w:t>
      </w:r>
      <w:r w:rsidRPr="00211DA0">
        <w:rPr>
          <w:rFonts w:cs="Calibri"/>
          <w:b/>
        </w:rPr>
        <w:t xml:space="preserve"> </w:t>
      </w:r>
      <w:r w:rsidRPr="00211DA0">
        <w:rPr>
          <w:rFonts w:cs="Calibri"/>
        </w:rPr>
        <w:t>Pregão</w:t>
      </w:r>
      <w:r w:rsidR="00D86541" w:rsidRPr="00211DA0">
        <w:rPr>
          <w:rFonts w:cs="Calibri"/>
        </w:rPr>
        <w:t xml:space="preserve"> Eletrônico nº </w:t>
      </w:r>
      <w:r w:rsidR="0052430E" w:rsidRPr="00211DA0">
        <w:rPr>
          <w:rFonts w:cs="Calibri"/>
        </w:rPr>
        <w:t>90</w:t>
      </w:r>
      <w:r w:rsidR="00D86541" w:rsidRPr="00211DA0">
        <w:rPr>
          <w:rFonts w:cs="Calibri"/>
        </w:rPr>
        <w:t>003</w:t>
      </w:r>
      <w:r w:rsidRPr="00211DA0">
        <w:rPr>
          <w:rFonts w:cs="Calibri"/>
        </w:rPr>
        <w:t>/202</w:t>
      </w:r>
      <w:r w:rsidR="0052430E" w:rsidRPr="00211DA0">
        <w:rPr>
          <w:rFonts w:cs="Calibri"/>
        </w:rPr>
        <w:t>4</w:t>
      </w:r>
    </w:p>
    <w:p w14:paraId="22DAB948" w14:textId="77777777" w:rsidR="00955B3F" w:rsidRPr="00211DA0" w:rsidRDefault="00955B3F" w:rsidP="00955B3F">
      <w:pPr>
        <w:rPr>
          <w:rFonts w:cs="Calibri"/>
        </w:rPr>
      </w:pPr>
    </w:p>
    <w:p w14:paraId="27B1DD9B" w14:textId="3017266E" w:rsidR="00955B3F" w:rsidRPr="00211DA0" w:rsidRDefault="00955B3F" w:rsidP="0052430E">
      <w:pPr>
        <w:rPr>
          <w:rFonts w:cs="Calibri"/>
        </w:rPr>
      </w:pPr>
      <w:r w:rsidRPr="00211DA0">
        <w:rPr>
          <w:rFonts w:cs="Calibri"/>
        </w:rPr>
        <w:tab/>
        <w:t xml:space="preserve">Objeto: </w:t>
      </w:r>
      <w:r w:rsidR="00D86541" w:rsidRPr="00211DA0">
        <w:rPr>
          <w:rFonts w:cs="Calibri"/>
        </w:rPr>
        <w:t xml:space="preserve">Contratação </w:t>
      </w:r>
      <w:r w:rsidR="0052430E" w:rsidRPr="00211DA0">
        <w:rPr>
          <w:rFonts w:cs="Calibri"/>
        </w:rPr>
        <w:t>de pessoa jurídica especializada na prestação de serviço de consultoria e assessoria trabalhista</w:t>
      </w:r>
      <w:r w:rsidR="00D86541" w:rsidRPr="00211DA0">
        <w:rPr>
          <w:rFonts w:cs="Calibri"/>
        </w:rPr>
        <w:t>, com a finalidade de atender às necessidades do Conselho Regional de Contabilidade do Estado do Rio de Janeiro</w:t>
      </w:r>
      <w:r w:rsidRPr="00211DA0">
        <w:rPr>
          <w:rFonts w:cs="Calibri"/>
        </w:rPr>
        <w:t>.</w:t>
      </w:r>
    </w:p>
    <w:p w14:paraId="2C1878F7" w14:textId="77777777" w:rsidR="00955B3F" w:rsidRPr="00211DA0" w:rsidRDefault="00955B3F" w:rsidP="00955B3F">
      <w:pPr>
        <w:rPr>
          <w:rFonts w:cs="Calibri"/>
        </w:rPr>
      </w:pPr>
    </w:p>
    <w:p w14:paraId="7D051191" w14:textId="63B8DD1F" w:rsidR="00955B3F" w:rsidRPr="00A6608C" w:rsidRDefault="00955B3F" w:rsidP="00955B3F">
      <w:pPr>
        <w:rPr>
          <w:rFonts w:cs="Calibri"/>
        </w:rPr>
      </w:pPr>
      <w:r w:rsidRPr="00211DA0">
        <w:rPr>
          <w:rFonts w:cs="Calibri"/>
        </w:rPr>
        <w:tab/>
        <w:t>Recorrente</w:t>
      </w:r>
      <w:r w:rsidR="00D86541" w:rsidRPr="00211DA0">
        <w:rPr>
          <w:rFonts w:cs="Calibri"/>
        </w:rPr>
        <w:t>s</w:t>
      </w:r>
      <w:r w:rsidRPr="00211DA0">
        <w:rPr>
          <w:rFonts w:cs="Calibri"/>
        </w:rPr>
        <w:t xml:space="preserve">: </w:t>
      </w:r>
      <w:r w:rsidR="0052430E" w:rsidRPr="00211DA0">
        <w:rPr>
          <w:rFonts w:cs="Calibri"/>
        </w:rPr>
        <w:t xml:space="preserve">THIAGO RODRIGUES SOCIEDADE INDIVIDUAL DE ADVOCACIA, </w:t>
      </w:r>
      <w:r w:rsidR="00A6608C" w:rsidRPr="00211DA0">
        <w:rPr>
          <w:rFonts w:cs="Calibri"/>
        </w:rPr>
        <w:t xml:space="preserve">ATHAYDE &amp; ADVOGADOS ASSOCIADOS, ROMANO ADVOGADOS ASSOCIADOS </w:t>
      </w:r>
      <w:r w:rsidR="00D86541" w:rsidRPr="00211DA0">
        <w:rPr>
          <w:rFonts w:cs="Calibri"/>
        </w:rPr>
        <w:t xml:space="preserve">e </w:t>
      </w:r>
      <w:r w:rsidR="00A6608C" w:rsidRPr="00211DA0">
        <w:rPr>
          <w:rFonts w:cs="Calibri"/>
        </w:rPr>
        <w:t>ZAMPIERI &amp; LUFT ADVOGADOS</w:t>
      </w:r>
      <w:r w:rsidR="00A6608C" w:rsidRPr="00A6608C">
        <w:rPr>
          <w:rFonts w:cs="Calibri"/>
        </w:rPr>
        <w:t xml:space="preserve"> ASSOCIADOS SS</w:t>
      </w:r>
      <w:r w:rsidR="00DA23DA" w:rsidRPr="00A6608C">
        <w:rPr>
          <w:rFonts w:cs="Calibri"/>
        </w:rPr>
        <w:t>.</w:t>
      </w:r>
    </w:p>
    <w:p w14:paraId="712DB3C9" w14:textId="547985B0" w:rsidR="00955B3F" w:rsidRDefault="00955B3F" w:rsidP="00955B3F">
      <w:pPr>
        <w:rPr>
          <w:rFonts w:cs="Calibri"/>
        </w:rPr>
      </w:pPr>
      <w:r w:rsidRPr="00C43E87">
        <w:rPr>
          <w:rFonts w:cs="Calibri"/>
        </w:rPr>
        <w:tab/>
      </w:r>
      <w:r w:rsidR="000E147E" w:rsidRPr="00C43E87">
        <w:rPr>
          <w:rFonts w:cs="Calibri"/>
        </w:rPr>
        <w:t>Recorrida</w:t>
      </w:r>
      <w:r w:rsidRPr="00C43E87">
        <w:rPr>
          <w:rFonts w:cs="Calibri"/>
        </w:rPr>
        <w:t xml:space="preserve">: </w:t>
      </w:r>
      <w:r w:rsidR="00C43E87" w:rsidRPr="00C43E87">
        <w:rPr>
          <w:rFonts w:cs="Calibri"/>
        </w:rPr>
        <w:t>MENEZES E MENEZES ADVOGADOS ASSOCIADOS</w:t>
      </w:r>
      <w:r w:rsidR="007B3FDD" w:rsidRPr="00C43E87">
        <w:rPr>
          <w:rFonts w:cs="Calibri"/>
        </w:rPr>
        <w:t>.</w:t>
      </w:r>
    </w:p>
    <w:p w14:paraId="65ECFE37" w14:textId="77777777" w:rsidR="001179D1" w:rsidRDefault="001179D1" w:rsidP="00955B3F">
      <w:pPr>
        <w:rPr>
          <w:rFonts w:cs="Calibri"/>
        </w:rPr>
      </w:pPr>
    </w:p>
    <w:p w14:paraId="0C754BF2" w14:textId="77777777" w:rsidR="00955B3F" w:rsidRDefault="00955B3F" w:rsidP="00955B3F">
      <w:pPr>
        <w:rPr>
          <w:rFonts w:cs="Calibri"/>
        </w:rPr>
      </w:pPr>
      <w:r>
        <w:rPr>
          <w:rFonts w:cs="Calibri"/>
        </w:rPr>
        <w:tab/>
        <w:t>I – Da tempestividade e do juízo de admissibilidade</w:t>
      </w:r>
    </w:p>
    <w:p w14:paraId="159C10CA" w14:textId="77777777" w:rsidR="00955B3F" w:rsidRDefault="00955B3F" w:rsidP="00955B3F">
      <w:pPr>
        <w:rPr>
          <w:rFonts w:cs="Calibri"/>
        </w:rPr>
      </w:pPr>
    </w:p>
    <w:p w14:paraId="7FCC406A" w14:textId="5167D77C" w:rsidR="009E251B" w:rsidRPr="00C60132" w:rsidRDefault="00955B3F" w:rsidP="00C60132">
      <w:pPr>
        <w:ind w:firstLine="708"/>
      </w:pPr>
      <w:r>
        <w:rPr>
          <w:rFonts w:cs="Calibri"/>
        </w:rPr>
        <w:tab/>
      </w:r>
      <w:r w:rsidRPr="00C60132">
        <w:t>A</w:t>
      </w:r>
      <w:r w:rsidR="00D86541" w:rsidRPr="00C60132">
        <w:t>s</w:t>
      </w:r>
      <w:r w:rsidRPr="00C60132">
        <w:t xml:space="preserve"> empresa</w:t>
      </w:r>
      <w:r w:rsidR="00D86541" w:rsidRPr="00C60132">
        <w:t>s</w:t>
      </w:r>
      <w:r w:rsidRPr="00C60132">
        <w:t xml:space="preserve"> </w:t>
      </w:r>
      <w:r w:rsidR="00C43E87" w:rsidRPr="00C60132">
        <w:t>THIAGO RODRIGUES SOCIEDADE INDIVIDUAL DE ADVOCACIA, CEZARIO DE SOUZA SOCIEDADE DE ADVOGADOS, WALQUER FIGUEIREDO ADVOGADOS ASSOCIADOS, ATHAYDE &amp; ADVOGADOS ASSOCIADOS, ROMANO ADVOGADOS ASSOCIADOS e ZAMPIERI &amp; LUFT ADVOGADOS ASSOCIADOS SS</w:t>
      </w:r>
      <w:r w:rsidR="00D86541" w:rsidRPr="00C60132">
        <w:t xml:space="preserve"> manifestaram</w:t>
      </w:r>
      <w:r w:rsidRPr="00C60132">
        <w:t xml:space="preserve"> a intenção de interposição de recurso na sessão pública realizada </w:t>
      </w:r>
      <w:r w:rsidR="009E251B" w:rsidRPr="00C60132">
        <w:t xml:space="preserve">em </w:t>
      </w:r>
      <w:r w:rsidR="00C43E87" w:rsidRPr="00C60132">
        <w:t>25 de novembro de 2024</w:t>
      </w:r>
      <w:r w:rsidR="009E251B" w:rsidRPr="00C60132">
        <w:t xml:space="preserve">, com base no </w:t>
      </w:r>
      <w:r w:rsidR="009B2F6D" w:rsidRPr="00C60132">
        <w:t>art. 165 da Lei nº 14.133/2021</w:t>
      </w:r>
      <w:r w:rsidR="009E251B" w:rsidRPr="00C60132">
        <w:t>. Após a manifestação de intenção de recurso</w:t>
      </w:r>
      <w:r w:rsidR="00106D67" w:rsidRPr="00C60132">
        <w:t>,</w:t>
      </w:r>
      <w:r w:rsidR="009E251B" w:rsidRPr="00C60132">
        <w:t xml:space="preserve"> a</w:t>
      </w:r>
      <w:r w:rsidR="00D86541" w:rsidRPr="00C60132">
        <w:t>s</w:t>
      </w:r>
      <w:r w:rsidR="009E251B" w:rsidRPr="00C60132">
        <w:t xml:space="preserve"> empresa</w:t>
      </w:r>
      <w:r w:rsidR="003F2A98" w:rsidRPr="00C60132">
        <w:t>s</w:t>
      </w:r>
      <w:r w:rsidR="00D86541" w:rsidRPr="00C60132">
        <w:t xml:space="preserve"> apresentaram</w:t>
      </w:r>
      <w:r w:rsidR="00B72A63" w:rsidRPr="00C60132">
        <w:t xml:space="preserve"> seu</w:t>
      </w:r>
      <w:r w:rsidR="00D86541" w:rsidRPr="00C60132">
        <w:t>s</w:t>
      </w:r>
      <w:r w:rsidR="00B72A63" w:rsidRPr="00C60132">
        <w:t xml:space="preserve"> recurso</w:t>
      </w:r>
      <w:r w:rsidR="00D86541" w:rsidRPr="00C60132">
        <w:t xml:space="preserve">s </w:t>
      </w:r>
      <w:r w:rsidR="00E00A76" w:rsidRPr="00C60132">
        <w:t xml:space="preserve">até o </w:t>
      </w:r>
      <w:r w:rsidR="00D86541" w:rsidRPr="00C60132">
        <w:t xml:space="preserve">dia </w:t>
      </w:r>
      <w:r w:rsidR="00E00A76" w:rsidRPr="00C60132">
        <w:t>28 de novembro de 2024</w:t>
      </w:r>
      <w:r w:rsidR="009E251B" w:rsidRPr="00C60132">
        <w:t xml:space="preserve">, ou seja, tempestivamente, dentro do prazo </w:t>
      </w:r>
      <w:r w:rsidR="001863AC" w:rsidRPr="00C60132">
        <w:t xml:space="preserve">de 3 (três) dias </w:t>
      </w:r>
      <w:r w:rsidR="009E251B" w:rsidRPr="00C60132">
        <w:t>estabelecido no já mencionado diploma legal</w:t>
      </w:r>
      <w:r w:rsidR="003F2A98" w:rsidRPr="00C60132">
        <w:t xml:space="preserve">, </w:t>
      </w:r>
      <w:r w:rsidR="009B2F6D" w:rsidRPr="00C60132">
        <w:t>onde após ocorreu a abertura de prazo para cadastramento dos recursos que se encerrou no dia 0</w:t>
      </w:r>
      <w:r w:rsidR="00E00A76" w:rsidRPr="00C60132">
        <w:t>3</w:t>
      </w:r>
      <w:r w:rsidR="009B2F6D" w:rsidRPr="00C60132">
        <w:t xml:space="preserve"> de dezembro de 2024.</w:t>
      </w:r>
    </w:p>
    <w:p w14:paraId="4C6473D5" w14:textId="41313634" w:rsidR="005811CB" w:rsidRPr="00740D9C" w:rsidRDefault="009E251B" w:rsidP="00C60132">
      <w:pPr>
        <w:ind w:firstLine="708"/>
      </w:pPr>
      <w:r w:rsidRPr="00C60132">
        <w:tab/>
        <w:t xml:space="preserve"> </w:t>
      </w:r>
      <w:r w:rsidRPr="00740D9C">
        <w:t>Com a apresentação do recurso pela</w:t>
      </w:r>
      <w:r w:rsidR="003F2A98">
        <w:t>s</w:t>
      </w:r>
      <w:r w:rsidRPr="00740D9C">
        <w:t xml:space="preserve"> empresa</w:t>
      </w:r>
      <w:r w:rsidR="003F2A98">
        <w:t>s</w:t>
      </w:r>
      <w:r w:rsidRPr="00740D9C">
        <w:t xml:space="preserve"> </w:t>
      </w:r>
      <w:r w:rsidR="00C43E87" w:rsidRPr="00C60132">
        <w:t>THIAGO RODRIGUES SOCIEDADE INDIVIDUAL DE ADVOCACIA, ATHAYDE &amp; ADVOGADOS ASSOCIADOS, ROMANO ADVOGADOS ASSOCIADOS e ZAMPIERI &amp; LUFT ADVOGADOS ASSOCIADOS SS</w:t>
      </w:r>
      <w:r w:rsidRPr="00740D9C">
        <w:t xml:space="preserve">, foi oportunizado a todos os </w:t>
      </w:r>
      <w:r w:rsidR="00591FC7">
        <w:t>licitantes</w:t>
      </w:r>
      <w:r w:rsidRPr="00740D9C">
        <w:t xml:space="preserve"> a interposição de contrarrazões </w:t>
      </w:r>
      <w:r w:rsidR="009F784B" w:rsidRPr="00740D9C">
        <w:t xml:space="preserve">também </w:t>
      </w:r>
      <w:r w:rsidRPr="00740D9C">
        <w:t>no prazo de</w:t>
      </w:r>
      <w:r w:rsidR="009F784B" w:rsidRPr="00740D9C">
        <w:t xml:space="preserve"> 3 (três) dias, </w:t>
      </w:r>
      <w:r w:rsidR="00C43E87">
        <w:t>não foram apresentadas contrarrazões</w:t>
      </w:r>
      <w:r w:rsidR="009F784B" w:rsidRPr="00740D9C">
        <w:t xml:space="preserve">, cumpridos os princípios do contraditório e da ampla defesa a todos os participantes da </w:t>
      </w:r>
      <w:r w:rsidR="00591FC7" w:rsidRPr="00740D9C">
        <w:t>sessão pública</w:t>
      </w:r>
      <w:r w:rsidR="00E00A76">
        <w:t>.</w:t>
      </w:r>
    </w:p>
    <w:p w14:paraId="42279B81" w14:textId="77777777" w:rsidR="00B33AEC" w:rsidRPr="00740D9C" w:rsidRDefault="00B33AEC" w:rsidP="00477F02"/>
    <w:p w14:paraId="0B49FA18" w14:textId="0114913D" w:rsidR="00C10E1C" w:rsidRPr="00740D9C" w:rsidRDefault="00B33AEC" w:rsidP="00477F02">
      <w:r w:rsidRPr="00740D9C">
        <w:tab/>
        <w:t xml:space="preserve">II – </w:t>
      </w:r>
      <w:r w:rsidR="007326B5" w:rsidRPr="00740D9C">
        <w:t>Do</w:t>
      </w:r>
      <w:r w:rsidR="00C10E1C" w:rsidRPr="00740D9C">
        <w:t xml:space="preserve"> </w:t>
      </w:r>
      <w:r w:rsidR="007326B5" w:rsidRPr="00740D9C">
        <w:t>Resumo da disputa</w:t>
      </w:r>
    </w:p>
    <w:p w14:paraId="73003ACF" w14:textId="48DF9026" w:rsidR="00C10E1C" w:rsidRPr="00740D9C" w:rsidRDefault="00C10E1C" w:rsidP="00C60132">
      <w:pPr>
        <w:ind w:firstLine="708"/>
      </w:pPr>
      <w:r w:rsidRPr="00740D9C">
        <w:tab/>
      </w:r>
    </w:p>
    <w:p w14:paraId="43A9E396" w14:textId="4FA47B90" w:rsidR="00C10E1C" w:rsidRDefault="00C10E1C" w:rsidP="00C60132">
      <w:pPr>
        <w:ind w:firstLine="708"/>
      </w:pPr>
      <w:r w:rsidRPr="00740D9C">
        <w:tab/>
        <w:t xml:space="preserve">O processo administrativo </w:t>
      </w:r>
      <w:r w:rsidR="009B2F6D" w:rsidRPr="009B2F6D">
        <w:t>SEI! 9079615110000507.000009/2024-72</w:t>
      </w:r>
      <w:r w:rsidR="003F2A98" w:rsidRPr="00C60132">
        <w:t xml:space="preserve"> </w:t>
      </w:r>
      <w:r w:rsidRPr="00740D9C">
        <w:t xml:space="preserve">tem como objetivo a </w:t>
      </w:r>
      <w:r w:rsidR="009B2F6D">
        <w:t>c</w:t>
      </w:r>
      <w:r w:rsidR="009B2F6D" w:rsidRPr="00C60132">
        <w:t xml:space="preserve">ontratação de pessoa jurídica especializada na prestação de serviço de consultoria e assessoria </w:t>
      </w:r>
      <w:r w:rsidR="009B2F6D" w:rsidRPr="00C60132">
        <w:lastRenderedPageBreak/>
        <w:t>trabalhista, com a finalidade de atender às necessidades do Conselho Regional de Contabilidade do Estado do Rio de Janeiro</w:t>
      </w:r>
      <w:r w:rsidR="00BD6D3C" w:rsidRPr="00740D9C">
        <w:t xml:space="preserve"> (CRCRJ)</w:t>
      </w:r>
      <w:r w:rsidR="00E00A76">
        <w:t>.</w:t>
      </w:r>
    </w:p>
    <w:p w14:paraId="61ED9FFE" w14:textId="1E7CC5F8" w:rsidR="00BD6D3C" w:rsidRPr="0065794B" w:rsidRDefault="00BD6D3C" w:rsidP="00477F02">
      <w:r w:rsidRPr="00740D9C">
        <w:tab/>
      </w:r>
      <w:r w:rsidRPr="0065794B">
        <w:t>O Aviso de Licitação foi publicado no Di</w:t>
      </w:r>
      <w:r w:rsidR="003F2A98" w:rsidRPr="0065794B">
        <w:t xml:space="preserve">ário Oficial da União (DOU) em </w:t>
      </w:r>
      <w:r w:rsidR="0065794B" w:rsidRPr="0065794B">
        <w:t>11</w:t>
      </w:r>
      <w:r w:rsidRPr="0065794B">
        <w:t xml:space="preserve"> de </w:t>
      </w:r>
      <w:r w:rsidR="0065794B" w:rsidRPr="0065794B">
        <w:t>outubro</w:t>
      </w:r>
      <w:r w:rsidR="003F2A98" w:rsidRPr="0065794B">
        <w:t xml:space="preserve"> </w:t>
      </w:r>
      <w:r w:rsidRPr="0065794B">
        <w:t>de 202</w:t>
      </w:r>
      <w:r w:rsidR="0065794B" w:rsidRPr="0065794B">
        <w:t>4</w:t>
      </w:r>
      <w:r w:rsidRPr="0065794B">
        <w:t xml:space="preserve">, bem como sua disponibilização </w:t>
      </w:r>
      <w:r w:rsidR="00E00A76" w:rsidRPr="0065794B">
        <w:t>no portal de compras públicas.</w:t>
      </w:r>
    </w:p>
    <w:p w14:paraId="7B7472CB" w14:textId="50A51876" w:rsidR="000576D9" w:rsidRPr="0065794B" w:rsidRDefault="00BD6D3C" w:rsidP="00C60132">
      <w:pPr>
        <w:ind w:firstLine="708"/>
      </w:pPr>
      <w:r w:rsidRPr="00921DC1">
        <w:rPr>
          <w:highlight w:val="yellow"/>
        </w:rPr>
        <w:tab/>
      </w:r>
      <w:r w:rsidR="007326B5" w:rsidRPr="0065794B">
        <w:t>A</w:t>
      </w:r>
      <w:r w:rsidR="003F2A98" w:rsidRPr="0065794B">
        <w:t>s</w:t>
      </w:r>
      <w:r w:rsidR="007326B5" w:rsidRPr="0065794B">
        <w:t xml:space="preserve"> recorrente</w:t>
      </w:r>
      <w:r w:rsidR="003F2A98" w:rsidRPr="0065794B">
        <w:t>s</w:t>
      </w:r>
      <w:r w:rsidR="007326B5" w:rsidRPr="0065794B">
        <w:t xml:space="preserve"> </w:t>
      </w:r>
      <w:r w:rsidR="003F2A98" w:rsidRPr="0065794B">
        <w:t>são</w:t>
      </w:r>
      <w:r w:rsidR="007326B5" w:rsidRPr="0065794B">
        <w:t xml:space="preserve"> </w:t>
      </w:r>
      <w:r w:rsidR="00591FC7" w:rsidRPr="0065794B">
        <w:t>licitantes</w:t>
      </w:r>
      <w:r w:rsidR="001179D1" w:rsidRPr="0065794B">
        <w:t xml:space="preserve"> do Pregão Eletrônico nº </w:t>
      </w:r>
      <w:r w:rsidR="009B2F6D" w:rsidRPr="0065794B">
        <w:t>90003/2024</w:t>
      </w:r>
      <w:r w:rsidR="007326B5" w:rsidRPr="0065794B">
        <w:t xml:space="preserve">, cuja sessão pública ocorreu no dia </w:t>
      </w:r>
      <w:r w:rsidR="0065794B" w:rsidRPr="0065794B">
        <w:t>29</w:t>
      </w:r>
      <w:r w:rsidR="007326B5" w:rsidRPr="0065794B">
        <w:t xml:space="preserve"> de </w:t>
      </w:r>
      <w:r w:rsidR="0065794B" w:rsidRPr="0065794B">
        <w:t>outubro</w:t>
      </w:r>
      <w:r w:rsidR="001179D1" w:rsidRPr="0065794B">
        <w:t xml:space="preserve"> de</w:t>
      </w:r>
      <w:r w:rsidR="0065794B">
        <w:t xml:space="preserve"> </w:t>
      </w:r>
      <w:r w:rsidR="001179D1" w:rsidRPr="0065794B">
        <w:t>202</w:t>
      </w:r>
      <w:r w:rsidR="0065794B" w:rsidRPr="0065794B">
        <w:t>4</w:t>
      </w:r>
      <w:r w:rsidR="007326B5" w:rsidRPr="0065794B">
        <w:t xml:space="preserve">, tendo </w:t>
      </w:r>
      <w:r w:rsidR="000576D9" w:rsidRPr="0065794B">
        <w:t xml:space="preserve">a empresa </w:t>
      </w:r>
      <w:r w:rsidR="00B85D53" w:rsidRPr="0065794B">
        <w:t>MENEZES E MENEZES ADVOGADOS ASSOCIADOS</w:t>
      </w:r>
      <w:r w:rsidR="000576D9" w:rsidRPr="0065794B">
        <w:t xml:space="preserve">, </w:t>
      </w:r>
      <w:r w:rsidR="007326B5" w:rsidRPr="0065794B">
        <w:t xml:space="preserve">como licitante </w:t>
      </w:r>
      <w:r w:rsidR="000576D9" w:rsidRPr="0065794B">
        <w:t>q</w:t>
      </w:r>
      <w:r w:rsidR="00E00A76" w:rsidRPr="0065794B">
        <w:t>ue apresentou a me</w:t>
      </w:r>
      <w:r w:rsidR="00FA3342">
        <w:t>lh</w:t>
      </w:r>
      <w:r w:rsidR="00E00A76" w:rsidRPr="0065794B">
        <w:t>or proposta.</w:t>
      </w:r>
    </w:p>
    <w:p w14:paraId="08F9227B" w14:textId="4F0DEA39" w:rsidR="00DB79E9" w:rsidRPr="006E4981" w:rsidRDefault="000576D9" w:rsidP="006E4981">
      <w:pPr>
        <w:ind w:firstLine="708"/>
      </w:pPr>
      <w:r w:rsidRPr="006E4981">
        <w:t xml:space="preserve">Ocorre que após a apresentação de proposta a da convocação do anexo, realizamos a compatibilidade da proposta apresentada, com a </w:t>
      </w:r>
      <w:r w:rsidR="00DB79E9" w:rsidRPr="006E4981">
        <w:t xml:space="preserve">especificações constantes do </w:t>
      </w:r>
      <w:r w:rsidR="00591FC7" w:rsidRPr="006E4981">
        <w:t>i</w:t>
      </w:r>
      <w:r w:rsidR="00DB79E9" w:rsidRPr="006E4981">
        <w:t xml:space="preserve">nstrumento convocatório, sendo verificado que tanto a proposta da empresa </w:t>
      </w:r>
      <w:r w:rsidR="006E4981" w:rsidRPr="006E4981">
        <w:t>RODRIGO SOUZA SOCIEDADE INDIVIDUAL DE ADVOCACIA SP</w:t>
      </w:r>
      <w:r w:rsidR="00DB79E9" w:rsidRPr="006E4981">
        <w:t xml:space="preserve">, quanto da </w:t>
      </w:r>
      <w:r w:rsidR="00591FC7" w:rsidRPr="006E4981">
        <w:t>Licitantes</w:t>
      </w:r>
      <w:r w:rsidR="00DB79E9" w:rsidRPr="006E4981">
        <w:t xml:space="preserve"> </w:t>
      </w:r>
      <w:r w:rsidR="006E4981" w:rsidRPr="006E4981">
        <w:t>CRISTIANE MACHADO PIRES PR</w:t>
      </w:r>
      <w:r w:rsidR="006E4981">
        <w:t>,</w:t>
      </w:r>
      <w:r w:rsidR="00DB79E9" w:rsidRPr="006E4981">
        <w:t xml:space="preserve"> não seriam exequíveis pelas razões apresentadas por est</w:t>
      </w:r>
      <w:r w:rsidR="006E4981">
        <w:t>e</w:t>
      </w:r>
      <w:r w:rsidR="00DB79E9" w:rsidRPr="006E4981">
        <w:t xml:space="preserve"> pregoe</w:t>
      </w:r>
      <w:r w:rsidR="00E00A76" w:rsidRPr="006E4981">
        <w:t>ir</w:t>
      </w:r>
      <w:r w:rsidR="006E4981">
        <w:t>o</w:t>
      </w:r>
      <w:r w:rsidR="00E00A76" w:rsidRPr="006E4981">
        <w:t>, no chat da sessão pública.</w:t>
      </w:r>
    </w:p>
    <w:p w14:paraId="32B29670" w14:textId="31FDA69E" w:rsidR="00BD6D3C" w:rsidRPr="00703D65" w:rsidRDefault="00DB79E9" w:rsidP="006E4981">
      <w:pPr>
        <w:ind w:firstLine="708"/>
      </w:pPr>
      <w:r w:rsidRPr="00703D65">
        <w:t xml:space="preserve">Após a desclassificação das </w:t>
      </w:r>
      <w:r w:rsidR="00591FC7" w:rsidRPr="00703D65">
        <w:t>licitantes</w:t>
      </w:r>
      <w:r w:rsidRPr="00703D65">
        <w:t xml:space="preserve"> acima, foi convocada a licitante </w:t>
      </w:r>
      <w:r w:rsidR="006E4981" w:rsidRPr="00703D65">
        <w:t>SILVIA SANTOS CORREIA - SOCIEDADE INDIVIDUAL DE ADVOCACIA RJ</w:t>
      </w:r>
      <w:r w:rsidRPr="00703D65">
        <w:t xml:space="preserve">, a qual </w:t>
      </w:r>
      <w:r w:rsidR="006E4981" w:rsidRPr="00703D65">
        <w:t>foi desclassificada por não enviar a proposta solicitada no prazo estipulado</w:t>
      </w:r>
      <w:r w:rsidR="00703D65" w:rsidRPr="00703D65">
        <w:t>.</w:t>
      </w:r>
    </w:p>
    <w:p w14:paraId="15C5A57B" w14:textId="6228F260" w:rsidR="00DB79E9" w:rsidRPr="001179D1" w:rsidRDefault="00DB79E9" w:rsidP="00DB79E9">
      <w:pPr>
        <w:ind w:firstLine="708"/>
      </w:pPr>
      <w:r w:rsidRPr="004A6570">
        <w:t xml:space="preserve">Com a declaração da empresa </w:t>
      </w:r>
      <w:r w:rsidR="00703D65" w:rsidRPr="004A6570">
        <w:rPr>
          <w:rFonts w:cs="Calibri"/>
        </w:rPr>
        <w:t>MENEZES E MENEZES ADVOGADOS ASSOCIADOS</w:t>
      </w:r>
      <w:r w:rsidRPr="004A6570">
        <w:rPr>
          <w:rFonts w:cs="Calibri"/>
        </w:rPr>
        <w:t>, como licitante vencedora, foi</w:t>
      </w:r>
      <w:r w:rsidR="00DD6575" w:rsidRPr="004A6570">
        <w:rPr>
          <w:rFonts w:cs="Calibri"/>
        </w:rPr>
        <w:t xml:space="preserve"> oportunizado a</w:t>
      </w:r>
      <w:r w:rsidRPr="004A6570">
        <w:rPr>
          <w:rFonts w:cs="Calibri"/>
        </w:rPr>
        <w:t xml:space="preserve">s demais </w:t>
      </w:r>
      <w:r w:rsidR="00591FC7" w:rsidRPr="004A6570">
        <w:rPr>
          <w:rFonts w:cs="Calibri"/>
        </w:rPr>
        <w:t>licitantes</w:t>
      </w:r>
      <w:r w:rsidRPr="004A6570">
        <w:rPr>
          <w:rFonts w:cs="Calibri"/>
        </w:rPr>
        <w:t>, prazo para intenção de recurso, sendo solicitado o registro de intenção de recurso pela</w:t>
      </w:r>
      <w:r w:rsidR="00B82300" w:rsidRPr="004A6570">
        <w:rPr>
          <w:rFonts w:cs="Calibri"/>
        </w:rPr>
        <w:t>s</w:t>
      </w:r>
      <w:r w:rsidRPr="004A6570">
        <w:rPr>
          <w:rFonts w:cs="Calibri"/>
        </w:rPr>
        <w:t xml:space="preserve"> </w:t>
      </w:r>
      <w:r w:rsidR="00591FC7" w:rsidRPr="004A6570">
        <w:rPr>
          <w:rFonts w:cs="Calibri"/>
        </w:rPr>
        <w:t>licitantes</w:t>
      </w:r>
      <w:r w:rsidRPr="004A6570">
        <w:rPr>
          <w:rFonts w:cs="Calibri"/>
        </w:rPr>
        <w:t xml:space="preserve">, </w:t>
      </w:r>
      <w:r w:rsidR="004A6570" w:rsidRPr="004A6570">
        <w:t>THIAGO RODRIGUES SOCIEDADE INDIVIDUAL DE ADVOCACIA, ATHAYDE &amp; ADVOGADOS ASSOCIADOS, ROMANO ADVOGADOS ASSOCIADOS e ZAMPIERI &amp; LUFT ADVOGADOS ASSOCIADOS SS</w:t>
      </w:r>
      <w:r w:rsidRPr="004A6570">
        <w:rPr>
          <w:rFonts w:cs="Calibri"/>
        </w:rPr>
        <w:t>, os quais</w:t>
      </w:r>
      <w:r w:rsidR="00DF1EAE" w:rsidRPr="004A6570">
        <w:rPr>
          <w:rFonts w:cs="Calibri"/>
        </w:rPr>
        <w:t>,</w:t>
      </w:r>
      <w:r w:rsidR="004A6570">
        <w:rPr>
          <w:rFonts w:cs="Calibri"/>
        </w:rPr>
        <w:t xml:space="preserve"> após análise pelo</w:t>
      </w:r>
      <w:r w:rsidRPr="004A6570">
        <w:rPr>
          <w:rFonts w:cs="Calibri"/>
        </w:rPr>
        <w:t xml:space="preserve"> pregoeir</w:t>
      </w:r>
      <w:r w:rsidR="004A6570">
        <w:rPr>
          <w:rFonts w:cs="Calibri"/>
        </w:rPr>
        <w:t>o</w:t>
      </w:r>
      <w:r w:rsidRPr="004A6570">
        <w:rPr>
          <w:rFonts w:cs="Calibri"/>
        </w:rPr>
        <w:t>, foram admitidos</w:t>
      </w:r>
      <w:r w:rsidR="00DF1EAE" w:rsidRPr="004A6570">
        <w:rPr>
          <w:rFonts w:cs="Calibri"/>
        </w:rPr>
        <w:t>,</w:t>
      </w:r>
      <w:r w:rsidRPr="004A6570">
        <w:rPr>
          <w:rFonts w:cs="Calibri"/>
        </w:rPr>
        <w:t xml:space="preserve"> iniciando a fa</w:t>
      </w:r>
      <w:r w:rsidR="00E00A76" w:rsidRPr="004A6570">
        <w:rPr>
          <w:rFonts w:cs="Calibri"/>
        </w:rPr>
        <w:t>se recursal do certame em tela.</w:t>
      </w:r>
    </w:p>
    <w:p w14:paraId="6ADD01E5" w14:textId="77777777" w:rsidR="00C10E1C" w:rsidRPr="001179D1" w:rsidRDefault="00C10E1C" w:rsidP="00C60132">
      <w:pPr>
        <w:ind w:firstLine="708"/>
      </w:pPr>
    </w:p>
    <w:p w14:paraId="04858E91" w14:textId="7019492B" w:rsidR="00B33AEC" w:rsidRPr="001179D1" w:rsidRDefault="00C10E1C" w:rsidP="00C10E1C">
      <w:pPr>
        <w:ind w:firstLine="708"/>
      </w:pPr>
      <w:r w:rsidRPr="001179D1">
        <w:t xml:space="preserve">III – </w:t>
      </w:r>
      <w:r w:rsidR="00B33AEC" w:rsidRPr="001179D1">
        <w:t xml:space="preserve">Das Razões Recursais da Recorrente – </w:t>
      </w:r>
      <w:r w:rsidR="00872F25" w:rsidRPr="00A6608C">
        <w:rPr>
          <w:rFonts w:cs="Calibri"/>
        </w:rPr>
        <w:t>THIAGO RODRIGUES SOCIEDADE INDIVIDUAL DE ADVOCACIA</w:t>
      </w:r>
      <w:r w:rsidR="000576D9">
        <w:rPr>
          <w:rFonts w:cs="Calibri"/>
        </w:rPr>
        <w:t>.</w:t>
      </w:r>
    </w:p>
    <w:p w14:paraId="6BDD2C67" w14:textId="77777777" w:rsidR="00B33AEC" w:rsidRPr="001179D1" w:rsidRDefault="00B33AEC" w:rsidP="00C60132">
      <w:pPr>
        <w:ind w:firstLine="708"/>
      </w:pPr>
    </w:p>
    <w:p w14:paraId="3CB986E4" w14:textId="66C1B4B3" w:rsidR="00757306" w:rsidRDefault="00757306" w:rsidP="00C60132">
      <w:pPr>
        <w:ind w:firstLine="708"/>
      </w:pPr>
      <w:r>
        <w:t>O recurso administrativo em questão contesta a decisão de desclassificação da empresa THIAGO RODRIGUES SOCIEDADE INDIVIDUAL DE ADVOCACIA em um pregão eletrônico (nº 90003/2024) para contratação de serviços de consultoria e assessoria trabalhista pelo Conselho Regional de Contabilidade do Rio de Janeiro/RJ.</w:t>
      </w:r>
    </w:p>
    <w:p w14:paraId="3478B85D" w14:textId="77777777" w:rsidR="00757306" w:rsidRDefault="00757306" w:rsidP="00C60132">
      <w:pPr>
        <w:ind w:firstLine="708"/>
      </w:pPr>
      <w:r>
        <w:t>O recorrente alega que a empresa classificada para a fase de habilitação apresentou uma proposta com valor inexequível, inferior a 50% do valor estimado pela Administração, o que configuraria indício de inexequibilidade segundo a Lei 14.133/2021 e a Instrução Normativa 73/2022.</w:t>
      </w:r>
    </w:p>
    <w:p w14:paraId="164591F8" w14:textId="77777777" w:rsidR="00757306" w:rsidRDefault="00757306" w:rsidP="00C60132">
      <w:pPr>
        <w:ind w:firstLine="708"/>
      </w:pPr>
      <w:r>
        <w:t>O recorrente argumenta que a aceitação de propostas com valores tão baixos avilta os preços praticados no mercado e desvaloriza o profissional da advocacia, além de contrariar os princípios da economicidade e legalidade.</w:t>
      </w:r>
    </w:p>
    <w:p w14:paraId="0A86B2C6" w14:textId="53DA5C71" w:rsidR="00093060" w:rsidRPr="001179D1" w:rsidRDefault="00757306" w:rsidP="00C60132">
      <w:pPr>
        <w:ind w:firstLine="708"/>
      </w:pPr>
      <w:r>
        <w:t>O recurso requer a desclassificação de todas as propostas abaixo de 50% do valor estimado, a suspensão do processo licitatório até o julgamento do recurso e a garantia de observância aos princípios da legalidade, isonomia e economicidade na continuidade do certame.</w:t>
      </w:r>
    </w:p>
    <w:p w14:paraId="54A7C6DA" w14:textId="25E3F943" w:rsidR="000E147E" w:rsidRPr="001179D1" w:rsidRDefault="000E147E" w:rsidP="00477F02"/>
    <w:p w14:paraId="7DC776AE" w14:textId="289A5C2B" w:rsidR="00757306" w:rsidRPr="00F445D1" w:rsidRDefault="000E147E" w:rsidP="00C60132">
      <w:pPr>
        <w:ind w:firstLine="708"/>
        <w:rPr>
          <w:rFonts w:cs="Calibri"/>
        </w:rPr>
      </w:pPr>
      <w:r w:rsidRPr="001179D1">
        <w:tab/>
      </w:r>
      <w:r w:rsidR="00757306" w:rsidRPr="00C60132">
        <w:t xml:space="preserve">IV – Das Razões Recursais da Recorrente – </w:t>
      </w:r>
      <w:r w:rsidR="00872F25" w:rsidRPr="0052430E">
        <w:t>ROMANO ADVOGADOS ASSOCIADOS</w:t>
      </w:r>
    </w:p>
    <w:p w14:paraId="17BB0C49" w14:textId="12EF6DB9" w:rsidR="00757306" w:rsidRPr="0052430E" w:rsidRDefault="002F579F" w:rsidP="0052430E">
      <w:r>
        <w:t>O</w:t>
      </w:r>
      <w:r w:rsidR="00757306" w:rsidRPr="0052430E">
        <w:t xml:space="preserve"> Recurso Administrativo interposto por Romano Advogados Associados contra a decisão do Conselho Regional de Contabilidade do Estado do Rio de Janeiro (CRCRJ) que, em um Pregão Eletrônico (nº 90003/2024), declarou como vencedora a proposta de Menezes e Menezes Advogados Associados.</w:t>
      </w:r>
    </w:p>
    <w:p w14:paraId="7DD302C4" w14:textId="77777777" w:rsidR="00757306" w:rsidRPr="0052430E" w:rsidRDefault="00757306" w:rsidP="0052430E">
      <w:r w:rsidRPr="0052430E">
        <w:t>O argumento central do recurso é que a licitante vencedora, Menezes e Menezes, não deveria ter sido habilitada no processo por duas razões principais:</w:t>
      </w:r>
    </w:p>
    <w:p w14:paraId="231E0687" w14:textId="77777777" w:rsidR="00757306" w:rsidRPr="0052430E" w:rsidRDefault="00757306" w:rsidP="0052430E">
      <w:r w:rsidRPr="0052430E">
        <w:t xml:space="preserve"> * Habilitação Desprovida de Documentos Essenciais: A vencedora não apresentou documentos obrigatórios para a habilitação, como a Certidão Negativa de Débitos Relativos a Créditos Tributários.</w:t>
      </w:r>
    </w:p>
    <w:p w14:paraId="51ED1D1E" w14:textId="77777777" w:rsidR="00757306" w:rsidRPr="0052430E" w:rsidRDefault="00757306" w:rsidP="0052430E">
      <w:r w:rsidRPr="0052430E">
        <w:t xml:space="preserve"> * Inexequibilidade da Proposta: A proposta apresentada pela vencedora contém valores muito abaixo do mínimo estipulado pela Tabela da Ordem dos Advogados do Brasil (OAB) do Rio de Janeiro, o que, segundo o recorrente, configura aviltamento de honorários advocatícios e torna a proposta inexequível.</w:t>
      </w:r>
    </w:p>
    <w:p w14:paraId="1082EAF5" w14:textId="77777777" w:rsidR="00757306" w:rsidRPr="0052430E" w:rsidRDefault="00757306" w:rsidP="0052430E">
      <w:r w:rsidRPr="0052430E">
        <w:t>O recurso detalha os valores apresentados pela vencedora e os compara com os valores mínimos estipulados pela OAB-RJ, demonstrando a discrepância entre eles.</w:t>
      </w:r>
    </w:p>
    <w:p w14:paraId="6ED42DE9" w14:textId="097C716E" w:rsidR="003D1F6F" w:rsidRPr="0052430E" w:rsidRDefault="00757306" w:rsidP="0052430E">
      <w:r w:rsidRPr="0052430E">
        <w:t>O documento finaliza com um pedido de deferimento do recurso, solicitando a inabilitação da empresa Menezes e Menezes e a retomada da licitação.</w:t>
      </w:r>
    </w:p>
    <w:p w14:paraId="061833D3" w14:textId="77777777" w:rsidR="00757306" w:rsidRPr="000C0D10" w:rsidRDefault="00757306" w:rsidP="0052430E">
      <w:pPr>
        <w:rPr>
          <w:rFonts w:cs="Calibri"/>
        </w:rPr>
      </w:pPr>
    </w:p>
    <w:p w14:paraId="6988D53B" w14:textId="065100AB" w:rsidR="00757306" w:rsidRPr="002F579F" w:rsidRDefault="00757306" w:rsidP="002F579F">
      <w:pPr>
        <w:ind w:firstLine="708"/>
      </w:pPr>
      <w:r w:rsidRPr="002F579F">
        <w:t xml:space="preserve">V – Das Razões Recursais da Recorrente – </w:t>
      </w:r>
      <w:r w:rsidR="00872F25" w:rsidRPr="0052430E">
        <w:t>ZAMPIERI &amp; LUFT ADVOGADOS ASSOCIADOS</w:t>
      </w:r>
    </w:p>
    <w:p w14:paraId="0FEF1871" w14:textId="1C3E2C2F" w:rsidR="00757306" w:rsidRPr="0052430E" w:rsidRDefault="00757306" w:rsidP="0052430E">
      <w:r w:rsidRPr="0052430E">
        <w:t>Zampieri &amp; Luft Advogados Associados interpôs recurso administrativo contra a proposta de preços e habilitação da empresa Menezes e Menezes Advogados Associados no Pregão Eletrônico n 90</w:t>
      </w:r>
      <w:r w:rsidR="00872F25">
        <w:t>0</w:t>
      </w:r>
      <w:r w:rsidRPr="0052430E">
        <w:t>03/2024 do Conselho Regional de Contabilidade do Rio de Janeiro (CRC-RJ).</w:t>
      </w:r>
    </w:p>
    <w:p w14:paraId="62895129" w14:textId="77777777" w:rsidR="00757306" w:rsidRDefault="00757306" w:rsidP="0052430E">
      <w:r w:rsidRPr="0052430E">
        <w:t>A recorrente alega que a Menezes e Menezes não apresentou os documentos de habilitação no sistema comprasnet.gov.br, conforme exigido pelo edital, e que sua proposta de preços é inexequível, estando abaixo de 50% do valor orçado pelo CRC-RJ, contrariando o item 6.8 do edital.</w:t>
      </w:r>
    </w:p>
    <w:p w14:paraId="12816E94" w14:textId="04365CDF" w:rsidR="00473C11" w:rsidRPr="0052430E" w:rsidRDefault="00473C11" w:rsidP="00473C11">
      <w:r>
        <w:t xml:space="preserve">A recorrente questiona descumprimento da regra do item 7.15 do Edital, o qual expressamente determina que os documentos de habilitação serão disponibilizados para acesso público após a declaração de habilitação da empresa </w:t>
      </w:r>
      <w:r w:rsidRPr="0052430E">
        <w:t>Menezes e Menezes Advogados Associados</w:t>
      </w:r>
      <w:r>
        <w:t>.</w:t>
      </w:r>
    </w:p>
    <w:p w14:paraId="48FB6EE1" w14:textId="77777777" w:rsidR="00757306" w:rsidRPr="0052430E" w:rsidRDefault="00757306" w:rsidP="0052430E">
      <w:r w:rsidRPr="0052430E">
        <w:t>Zampieri &amp; Luft argumenta que a proposta da Menezes e Menezes deveria ser desclassificada por inexequibilidade e que a empresa deveria ser inabilitada por não apresentar os documentos de habilitação.</w:t>
      </w:r>
    </w:p>
    <w:p w14:paraId="41691F63" w14:textId="70D99789" w:rsidR="00757306" w:rsidRPr="0052430E" w:rsidRDefault="00757306" w:rsidP="0052430E">
      <w:r w:rsidRPr="0052430E">
        <w:t>O recurso requer que o CRC-RJ declare nula a fase recursal, desclassifique a proposta da Menezes e Menezes e a inabilite do certame.</w:t>
      </w:r>
    </w:p>
    <w:p w14:paraId="64E70A30" w14:textId="77777777" w:rsidR="00757306" w:rsidRPr="0052430E" w:rsidRDefault="00757306" w:rsidP="0052430E"/>
    <w:p w14:paraId="23A3F4F9" w14:textId="77777777" w:rsidR="00757306" w:rsidRDefault="00757306" w:rsidP="00757306">
      <w:pPr>
        <w:tabs>
          <w:tab w:val="left" w:pos="2268"/>
        </w:tabs>
        <w:spacing w:before="160" w:after="160" w:line="360" w:lineRule="auto"/>
        <w:rPr>
          <w:rFonts w:cs="Calibri"/>
          <w:vanish/>
          <w:highlight w:val="yellow"/>
        </w:rPr>
      </w:pPr>
    </w:p>
    <w:p w14:paraId="63F9B306" w14:textId="66A13E15" w:rsidR="00757306" w:rsidRPr="00473C11" w:rsidRDefault="00757306" w:rsidP="00473C11">
      <w:pPr>
        <w:ind w:firstLine="708"/>
      </w:pPr>
      <w:r w:rsidRPr="00473C11">
        <w:t>V</w:t>
      </w:r>
      <w:r w:rsidR="00473C11" w:rsidRPr="00473C11">
        <w:t>I</w:t>
      </w:r>
      <w:r w:rsidRPr="00473C11">
        <w:t xml:space="preserve"> – Das Razões Recursais da Recorrente – </w:t>
      </w:r>
      <w:r w:rsidR="00872F25" w:rsidRPr="0052430E">
        <w:t>ATHAYDE &amp; ADVOGADOS ASSOCIADOS</w:t>
      </w:r>
    </w:p>
    <w:p w14:paraId="7D55D15B" w14:textId="77777777" w:rsidR="00757306" w:rsidRPr="000C0D10" w:rsidRDefault="00757306" w:rsidP="0052430E">
      <w:pPr>
        <w:rPr>
          <w:rFonts w:cs="Calibri"/>
        </w:rPr>
      </w:pPr>
    </w:p>
    <w:p w14:paraId="2BAE0D51" w14:textId="77777777" w:rsidR="00757306" w:rsidRPr="0052430E" w:rsidRDefault="00757306" w:rsidP="0052430E">
      <w:r w:rsidRPr="0052430E">
        <w:t>O recurso administrativo em questão foi apresentado pela sociedade de advogados Athayde &amp; Advogados Associados contra a habilitação da Menezes &amp; Menezes Advogados Associados no Pregão Eletrônico nº 90003/2024 do Conselho Regional de Contabilidade do Estado do Rio de Janeiro (CRJ/RJ).</w:t>
      </w:r>
    </w:p>
    <w:p w14:paraId="4F41B7FD" w14:textId="77777777" w:rsidR="00757306" w:rsidRPr="0052430E" w:rsidRDefault="00757306" w:rsidP="0052430E">
      <w:r w:rsidRPr="0052430E">
        <w:t>O objeto do pregão era a contratação de serviços de consultoria e assessoria trabalhista, pelo valor máximo estimado de R$ 69.600,00. A Athayde &amp; Advogados Associados alega que a Menezes &amp; Menezes Advogados Associados não cumpriu os requisitos de qualificação técnica exigidos pelo edital, especificamente os itens 10.12.4.1.4 e 10.12.4.2, que exigem experiência mínima de 3 anos comprovada na realização de serviços equivalentes aos solicitados.</w:t>
      </w:r>
    </w:p>
    <w:p w14:paraId="273C48E7" w14:textId="77777777" w:rsidR="00757306" w:rsidRPr="0052430E" w:rsidRDefault="00757306" w:rsidP="0052430E">
      <w:r w:rsidRPr="0052430E">
        <w:t>Segundo a recorrente, a Menezes &amp; Menezes Advogados Associados apresentou declarações emitidas por pessoa física, com período inferior a 3 anos e emitidas em seu próprio timbre, além de declarações de empresas que sequer possuem ações trabalhistas, o que coloca em dúvida a capacidade técnica da licitante.</w:t>
      </w:r>
    </w:p>
    <w:p w14:paraId="0E7EC269" w14:textId="4EC59BEF" w:rsidR="00757306" w:rsidRPr="0052430E" w:rsidRDefault="00757306" w:rsidP="0052430E">
      <w:r w:rsidRPr="0052430E">
        <w:t>A Athayde &amp; Advogados Associados argumenta que o descumprimento dos requisitos de qualificação técnica fere os princípios da legalidade, interesse público, vinculação ao ato convocatório, julgamento objetivo e segurança jurídica, e solicita a inabilitação da Menezes &amp; Menezes Advogados Associados, com base no item 6.7, subitem 6.7.5 do edital.</w:t>
      </w:r>
    </w:p>
    <w:p w14:paraId="46F3A257" w14:textId="77777777" w:rsidR="00C10E1C" w:rsidRPr="001179D1" w:rsidRDefault="00C10E1C" w:rsidP="00477F02"/>
    <w:p w14:paraId="75253E7E" w14:textId="46C5A5A1" w:rsidR="00D00BE4" w:rsidRDefault="00D00BE4" w:rsidP="00410E0D">
      <w:pPr>
        <w:ind w:firstLine="708"/>
      </w:pPr>
      <w:r w:rsidRPr="001179D1">
        <w:t xml:space="preserve">VI – </w:t>
      </w:r>
      <w:r w:rsidR="000576D9" w:rsidRPr="001179D1">
        <w:t xml:space="preserve">Da análise </w:t>
      </w:r>
    </w:p>
    <w:p w14:paraId="6A76B43B" w14:textId="748BB69E" w:rsidR="004A6C1D" w:rsidRDefault="004A6C1D" w:rsidP="004A6C1D">
      <w:pPr>
        <w:ind w:firstLine="708"/>
      </w:pPr>
      <w:r>
        <w:t>Inicialmente informamos que os recursos apresentad</w:t>
      </w:r>
      <w:r w:rsidR="00E576C8">
        <w:t>o</w:t>
      </w:r>
      <w:r>
        <w:t>s foram protocolad</w:t>
      </w:r>
      <w:r w:rsidR="00E576C8">
        <w:t>o</w:t>
      </w:r>
      <w:r>
        <w:t xml:space="preserve">s no </w:t>
      </w:r>
      <w:r w:rsidR="00BA794C">
        <w:t>s</w:t>
      </w:r>
      <w:r>
        <w:t>istema de forma tempestiva</w:t>
      </w:r>
      <w:r w:rsidR="00E576C8">
        <w:t xml:space="preserve"> e que não foram apresentadas as contrarrazões</w:t>
      </w:r>
      <w:r>
        <w:t xml:space="preserve"> e passamos a analisar cada um dos argumentos que se seguem.</w:t>
      </w:r>
    </w:p>
    <w:p w14:paraId="77669ED7" w14:textId="5F96D6B0" w:rsidR="004A6C1D" w:rsidRPr="00AE1895" w:rsidRDefault="004A6C1D" w:rsidP="004A6C1D">
      <w:pPr>
        <w:ind w:firstLine="708"/>
        <w:rPr>
          <w:highlight w:val="yellow"/>
        </w:rPr>
      </w:pPr>
      <w:r w:rsidRPr="00EB67C3">
        <w:t>Cumpre ressaltar que o pre</w:t>
      </w:r>
      <w:r w:rsidR="00FC44BD" w:rsidRPr="00EB67C3">
        <w:t>sente certame foi publicado na I</w:t>
      </w:r>
      <w:r w:rsidRPr="00EB67C3">
        <w:t xml:space="preserve">mprensa </w:t>
      </w:r>
      <w:r w:rsidR="00FC44BD" w:rsidRPr="00EB67C3">
        <w:t>O</w:t>
      </w:r>
      <w:r w:rsidRPr="00EB67C3">
        <w:t xml:space="preserve">ficial e disponibilizado no site Compras Governamentais </w:t>
      </w:r>
      <w:r w:rsidR="00C92E02" w:rsidRPr="00EB67C3">
        <w:t xml:space="preserve">em </w:t>
      </w:r>
      <w:r w:rsidR="00EB67C3" w:rsidRPr="00EB67C3">
        <w:t>11</w:t>
      </w:r>
      <w:r w:rsidRPr="00EB67C3">
        <w:t xml:space="preserve"> de </w:t>
      </w:r>
      <w:r w:rsidR="00B61DF3">
        <w:t>outubro</w:t>
      </w:r>
      <w:r w:rsidRPr="00EB67C3">
        <w:t xml:space="preserve"> d</w:t>
      </w:r>
      <w:r w:rsidR="00EB67C3" w:rsidRPr="00EB67C3">
        <w:t>e</w:t>
      </w:r>
      <w:r w:rsidRPr="00EB67C3">
        <w:t xml:space="preserve"> 202</w:t>
      </w:r>
      <w:r w:rsidR="00EB67C3" w:rsidRPr="00EB67C3">
        <w:t>4</w:t>
      </w:r>
      <w:r w:rsidRPr="00B61DF3">
        <w:t>, não recebendo qualquer pedido de impugnação</w:t>
      </w:r>
      <w:r w:rsidR="00B61DF3" w:rsidRPr="00B61DF3">
        <w:t xml:space="preserve">, apenas </w:t>
      </w:r>
      <w:r w:rsidR="003B2BAD">
        <w:t xml:space="preserve">pedidos </w:t>
      </w:r>
      <w:r w:rsidR="00B61DF3" w:rsidRPr="00B61DF3">
        <w:t>de esclarecimentos</w:t>
      </w:r>
      <w:r w:rsidR="003B2BAD">
        <w:t xml:space="preserve"> que, apesar de intempestivos,</w:t>
      </w:r>
      <w:r w:rsidR="00B61DF3">
        <w:t xml:space="preserve"> </w:t>
      </w:r>
      <w:r w:rsidR="00B61DF3" w:rsidRPr="00B61DF3">
        <w:t>foram prestad</w:t>
      </w:r>
      <w:r w:rsidR="003B2BAD">
        <w:t>o</w:t>
      </w:r>
      <w:r w:rsidR="00B61DF3">
        <w:t>s</w:t>
      </w:r>
      <w:r w:rsidR="00B61DF3" w:rsidRPr="00B61DF3">
        <w:t xml:space="preserve"> e publicados tanto n</w:t>
      </w:r>
      <w:r w:rsidR="00B61DF3">
        <w:t>o site da</w:t>
      </w:r>
      <w:r w:rsidR="00B61DF3" w:rsidRPr="00B61DF3">
        <w:t xml:space="preserve"> sessão pública quanto no Portal do CRCRJ</w:t>
      </w:r>
      <w:r w:rsidRPr="00B61DF3">
        <w:t xml:space="preserve">, tendo a Sessão pública se iniciado no dia </w:t>
      </w:r>
      <w:r w:rsidR="00B61DF3" w:rsidRPr="00B61DF3">
        <w:t>29</w:t>
      </w:r>
      <w:r w:rsidR="00C92E02" w:rsidRPr="00B61DF3">
        <w:t xml:space="preserve"> de </w:t>
      </w:r>
      <w:r w:rsidR="00B61DF3" w:rsidRPr="00B61DF3">
        <w:t>outubro</w:t>
      </w:r>
      <w:r w:rsidR="00C92E02" w:rsidRPr="00B61DF3">
        <w:t xml:space="preserve"> de 202</w:t>
      </w:r>
      <w:r w:rsidR="00B61DF3" w:rsidRPr="00B61DF3">
        <w:t>4</w:t>
      </w:r>
      <w:r w:rsidR="00C92E02" w:rsidRPr="00B61DF3">
        <w:t xml:space="preserve">. </w:t>
      </w:r>
    </w:p>
    <w:p w14:paraId="0883D45F" w14:textId="0988D386" w:rsidR="00C92E02" w:rsidRPr="0010203A" w:rsidRDefault="00C92E02" w:rsidP="004A6C1D">
      <w:pPr>
        <w:ind w:firstLine="708"/>
      </w:pPr>
      <w:r w:rsidRPr="0010203A">
        <w:t xml:space="preserve">Desta forma, caso qualquer dos </w:t>
      </w:r>
      <w:r w:rsidR="00591FC7" w:rsidRPr="0010203A">
        <w:t>licitantes</w:t>
      </w:r>
      <w:r w:rsidRPr="0010203A">
        <w:t xml:space="preserve"> tivesse dúvidas e</w:t>
      </w:r>
      <w:r w:rsidR="00FC44BD" w:rsidRPr="0010203A">
        <w:t>/ou</w:t>
      </w:r>
      <w:r w:rsidRPr="0010203A">
        <w:t xml:space="preserve"> entendesse que o edital poderia criar restrições a sua participação, os meios adequados para saneamento e discordância quanto seus termos, seriam </w:t>
      </w:r>
      <w:r w:rsidR="00FC44BD" w:rsidRPr="0010203A">
        <w:t>os pedidos de esclarecimento e i</w:t>
      </w:r>
      <w:r w:rsidRPr="0010203A">
        <w:t>mpugnação ao edital.</w:t>
      </w:r>
      <w:r w:rsidR="00C762DF" w:rsidRPr="0010203A">
        <w:t xml:space="preserve"> Ainda nesse diapasão</w:t>
      </w:r>
      <w:r w:rsidR="00FC44BD" w:rsidRPr="0010203A">
        <w:t>,</w:t>
      </w:r>
      <w:r w:rsidR="00C762DF" w:rsidRPr="0010203A">
        <w:t xml:space="preserve"> pode-se concluir que os </w:t>
      </w:r>
      <w:r w:rsidR="00591FC7" w:rsidRPr="0010203A">
        <w:t>licitantes</w:t>
      </w:r>
      <w:r w:rsidR="00C762DF" w:rsidRPr="0010203A">
        <w:t xml:space="preserve"> que participaram do certame possuíam total conhecimento das regras do edital, bem como, concordaram com as mesmas ao apresentarem suas propostas no mesmo. </w:t>
      </w:r>
    </w:p>
    <w:p w14:paraId="619BBF85" w14:textId="61DEAA00" w:rsidR="00244FED" w:rsidRPr="0055035B" w:rsidRDefault="00FC44BD" w:rsidP="00A56566">
      <w:pPr>
        <w:ind w:firstLine="708"/>
      </w:pPr>
      <w:r w:rsidRPr="0014381F">
        <w:t>Quanto à</w:t>
      </w:r>
      <w:r w:rsidR="00CD655C" w:rsidRPr="0014381F">
        <w:t>s</w:t>
      </w:r>
      <w:r w:rsidR="00C762DF" w:rsidRPr="0014381F">
        <w:t xml:space="preserve"> alegaç</w:t>
      </w:r>
      <w:r w:rsidR="00CD655C" w:rsidRPr="0014381F">
        <w:t xml:space="preserve">ões de </w:t>
      </w:r>
      <w:r w:rsidR="00244FED" w:rsidRPr="0014381F">
        <w:t>inexequibilidade da proposta vencedora</w:t>
      </w:r>
      <w:r w:rsidR="00244FED" w:rsidRPr="0055035B">
        <w:t>, temos que tal argumento não procede. A Lei 14.133/2021</w:t>
      </w:r>
      <w:r w:rsidR="00AC0EDE" w:rsidRPr="0055035B">
        <w:t>, em seu artigo 59,</w:t>
      </w:r>
      <w:r w:rsidR="00244FED" w:rsidRPr="0055035B">
        <w:t xml:space="preserve"> dispõe que </w:t>
      </w:r>
      <w:r w:rsidR="00AC0EDE" w:rsidRPr="0055035B">
        <w:t>serão desclassificadas as propostas que III - apresentarem preços inexequíveis ou permanecerem acima do orçamento estimado para a contratação; ou</w:t>
      </w:r>
      <w:bookmarkStart w:id="1" w:name="art59iv"/>
      <w:bookmarkEnd w:id="1"/>
      <w:r w:rsidR="00AC0EDE" w:rsidRPr="0055035B">
        <w:t xml:space="preserve"> IV - não tiverem sua exequibilidade demonstrada, quando exigido pela Administração</w:t>
      </w:r>
      <w:r w:rsidR="00244FED" w:rsidRPr="0055035B">
        <w:t>.</w:t>
      </w:r>
      <w:r w:rsidR="00A56566" w:rsidRPr="0055035B">
        <w:t xml:space="preserve"> </w:t>
      </w:r>
      <w:r w:rsidR="00545E28" w:rsidRPr="0055035B">
        <w:t>Traz</w:t>
      </w:r>
      <w:r w:rsidR="00A56566" w:rsidRPr="0055035B">
        <w:t xml:space="preserve">, ainda, a previsão em seu parágrafo segundo, que a Administração poderá realizar diligências para aferir a exequibilidade das propostas ou exigir dos licitantes que ela seja demonstrada. </w:t>
      </w:r>
      <w:r w:rsidR="00244FED" w:rsidRPr="0055035B">
        <w:t>Tal normativo fora regulamentado pela Instrução Normativa</w:t>
      </w:r>
      <w:r w:rsidR="00545E28" w:rsidRPr="0055035B">
        <w:t xml:space="preserve"> SEGES/ME nº 73, de 30 de Setembro de 2022</w:t>
      </w:r>
      <w:r w:rsidR="00244FED" w:rsidRPr="0055035B">
        <w:t>, a qual dispõe em seu artigo 34 o que segue:</w:t>
      </w:r>
    </w:p>
    <w:p w14:paraId="13251A81" w14:textId="5BC2F211" w:rsidR="00244FED" w:rsidRPr="0055035B" w:rsidRDefault="00FC0A3B" w:rsidP="00244FED">
      <w:pPr>
        <w:ind w:firstLine="708"/>
      </w:pPr>
      <w:r w:rsidRPr="0055035B">
        <w:t>“</w:t>
      </w:r>
      <w:r w:rsidR="00244FED" w:rsidRPr="0055035B">
        <w:t> Art. 34. No caso de bens e serviços em geral, é indício de inexequibilidade das propostas valores inferiores a 50% (cinquenta por cento) do valor orçado pela Administração.</w:t>
      </w:r>
    </w:p>
    <w:p w14:paraId="1176777F" w14:textId="77777777" w:rsidR="00244FED" w:rsidRPr="0055035B" w:rsidRDefault="00244FED" w:rsidP="00244FED">
      <w:pPr>
        <w:ind w:firstLine="708"/>
      </w:pPr>
      <w:r w:rsidRPr="0055035B">
        <w:t>Parágrafo único. A inexequibilidade, na hipótese de que trata o </w:t>
      </w:r>
      <w:r w:rsidRPr="0055035B">
        <w:rPr>
          <w:b/>
          <w:bCs/>
        </w:rPr>
        <w:t>caput</w:t>
      </w:r>
      <w:r w:rsidRPr="0055035B">
        <w:t>, só será considerada após diligência do agente de contratação ou da comissão de contratação, quando o substituir, que comprove:</w:t>
      </w:r>
    </w:p>
    <w:p w14:paraId="08D2F232" w14:textId="77777777" w:rsidR="00244FED" w:rsidRPr="0055035B" w:rsidRDefault="00244FED" w:rsidP="00244FED">
      <w:pPr>
        <w:ind w:firstLine="708"/>
      </w:pPr>
      <w:r w:rsidRPr="0055035B">
        <w:t>I - que o custo do licitante ultrapassa o valor da proposta; e</w:t>
      </w:r>
    </w:p>
    <w:p w14:paraId="1FA21E57" w14:textId="4B8B977C" w:rsidR="00244FED" w:rsidRPr="0055035B" w:rsidRDefault="00244FED" w:rsidP="00244FED">
      <w:pPr>
        <w:ind w:firstLine="708"/>
      </w:pPr>
      <w:r w:rsidRPr="0055035B">
        <w:t>II - inexistirem custos de oportunidade capazes de justificar o vulto da oferta.</w:t>
      </w:r>
      <w:r w:rsidR="00FC0A3B" w:rsidRPr="0055035B">
        <w:t>”</w:t>
      </w:r>
    </w:p>
    <w:p w14:paraId="256C2F07" w14:textId="0D5555A8" w:rsidR="001A37AB" w:rsidRPr="0055035B" w:rsidRDefault="00244FED" w:rsidP="00244FED">
      <w:pPr>
        <w:ind w:firstLine="708"/>
      </w:pPr>
      <w:r w:rsidRPr="0055035B">
        <w:t xml:space="preserve">  </w:t>
      </w:r>
      <w:r w:rsidR="00FC0A3B" w:rsidRPr="0055035B">
        <w:t xml:space="preserve">Logo, observa-se que a </w:t>
      </w:r>
      <w:r w:rsidR="0064258A" w:rsidRPr="0055035B">
        <w:t xml:space="preserve">presunção da </w:t>
      </w:r>
      <w:r w:rsidR="00FC0A3B" w:rsidRPr="0055035B">
        <w:t xml:space="preserve">inexequibilidade </w:t>
      </w:r>
      <w:r w:rsidR="0064258A" w:rsidRPr="0055035B">
        <w:t>é relativa, devendo a administração oportunizar à licitante a possibilidade de demonstrar a exequibilidade de sua proposta. Nesse sentido, temos que o Tribunal de Contas da União</w:t>
      </w:r>
      <w:r w:rsidR="006979ED" w:rsidRPr="0055035B">
        <w:t xml:space="preserve">, por meio do Acórdão 7477/2024, da Segunda Câmara, de autoria do Ministro Relator Marcos </w:t>
      </w:r>
      <w:proofErr w:type="spellStart"/>
      <w:r w:rsidR="006979ED" w:rsidRPr="0055035B">
        <w:t>Bemquerer</w:t>
      </w:r>
      <w:proofErr w:type="spellEnd"/>
      <w:r w:rsidR="006979ED" w:rsidRPr="0055035B">
        <w:t xml:space="preserve">, </w:t>
      </w:r>
      <w:r w:rsidR="00C53C9E" w:rsidRPr="0055035B">
        <w:t>“a desclassificação da proposta do representante, por ser, supostamente, inexequível, sem que tenha sido realizada diligência para que ele pudesse comprovar sua exequibilidade, é improcedente”</w:t>
      </w:r>
      <w:r w:rsidR="00933759" w:rsidRPr="0055035B">
        <w:t>.</w:t>
      </w:r>
    </w:p>
    <w:p w14:paraId="20CAB3A4" w14:textId="68EAEDEE" w:rsidR="004F022C" w:rsidRPr="00154109" w:rsidRDefault="001A37AB" w:rsidP="00741222">
      <w:pPr>
        <w:ind w:firstLine="708"/>
      </w:pPr>
      <w:r w:rsidRPr="00154109">
        <w:t>Cabe esclarecer, ainda, que</w:t>
      </w:r>
      <w:r w:rsidR="004F022C" w:rsidRPr="00154109">
        <w:t xml:space="preserve"> o valor da contratação orçado no ETP foi feito com base na pesquisa de mercados fundamentada </w:t>
      </w:r>
      <w:r w:rsidR="00741222">
        <w:t xml:space="preserve">apenas </w:t>
      </w:r>
      <w:r w:rsidR="004F022C" w:rsidRPr="00154109">
        <w:t>na Instrução Normativa SEGES/ME nº 65/2021 e</w:t>
      </w:r>
      <w:r w:rsidR="00154109" w:rsidRPr="00154109">
        <w:t xml:space="preserve"> não</w:t>
      </w:r>
      <w:r w:rsidR="004F022C" w:rsidRPr="00154109">
        <w:t xml:space="preserve"> com base no Art. 49, do Código de Ética e Disciplina da OAB, o qual dispõe:</w:t>
      </w:r>
    </w:p>
    <w:p w14:paraId="773409EC" w14:textId="1961D1C6" w:rsidR="004F022C" w:rsidRDefault="004F022C" w:rsidP="004F022C">
      <w:pPr>
        <w:ind w:firstLine="708"/>
        <w:rPr>
          <w:i/>
          <w:iCs/>
        </w:rPr>
      </w:pPr>
      <w:r w:rsidRPr="00154109">
        <w:t> </w:t>
      </w:r>
      <w:r w:rsidRPr="00154109">
        <w:rPr>
          <w:i/>
          <w:iCs/>
        </w:rPr>
        <w:t>Art. 49. Os honorários profissionais devem ser fixados com moderação, atendidos os elementos seguintes: I – a relevância, o vulto, a complexidade e a dificuldade das questões versadas; II – o trabalho e o tempo a ser empregados; III – a possibilidade de ficar o advogado impedido de intervir em outros casos, ou de se desavir com outros clientes ou terceiros; IV – o valor da causa, a condição econômica do cliente e o proveito para este resultante do serviço profissional;</w:t>
      </w:r>
      <w:r w:rsidR="00154109" w:rsidRPr="00154109">
        <w:rPr>
          <w:i/>
          <w:iCs/>
        </w:rPr>
        <w:t xml:space="preserve"> V – o caráter da intervenção, conforme se trate de serviço a cliente eventual, frequente ou constante; VI – o lugar da prestação dos serviços, conforme se trate do domicílio do advogado ou de outro; VII – a competência do profissional; VIII – a praxe do foro sobre trabalhos análogos</w:t>
      </w:r>
      <w:r w:rsidR="00154109">
        <w:rPr>
          <w:i/>
          <w:iCs/>
        </w:rPr>
        <w:t>.</w:t>
      </w:r>
    </w:p>
    <w:p w14:paraId="416B95EB" w14:textId="56EC6708" w:rsidR="008263EA" w:rsidRDefault="00E97077" w:rsidP="004A6570">
      <w:pPr>
        <w:ind w:firstLine="708"/>
        <w:rPr>
          <w:iCs/>
        </w:rPr>
      </w:pPr>
      <w:r>
        <w:rPr>
          <w:iCs/>
        </w:rPr>
        <w:t>Cab</w:t>
      </w:r>
      <w:r w:rsidR="004A6570">
        <w:rPr>
          <w:iCs/>
        </w:rPr>
        <w:t>e ainda esclarecer que o mesmo C</w:t>
      </w:r>
      <w:r>
        <w:rPr>
          <w:iCs/>
        </w:rPr>
        <w:t xml:space="preserve">ódigo de </w:t>
      </w:r>
      <w:proofErr w:type="spellStart"/>
      <w:r w:rsidR="004A6570">
        <w:rPr>
          <w:iCs/>
        </w:rPr>
        <w:t>E</w:t>
      </w:r>
      <w:r>
        <w:rPr>
          <w:iCs/>
        </w:rPr>
        <w:t>tica</w:t>
      </w:r>
      <w:proofErr w:type="spellEnd"/>
      <w:r>
        <w:rPr>
          <w:iCs/>
        </w:rPr>
        <w:t xml:space="preserve"> e disciplina, em seu Art. 29 dispõe:</w:t>
      </w:r>
    </w:p>
    <w:p w14:paraId="019D4E06" w14:textId="6D2C8229" w:rsidR="00E97077" w:rsidRPr="00E97077" w:rsidRDefault="00E97077" w:rsidP="00E97077">
      <w:pPr>
        <w:rPr>
          <w:i/>
          <w:highlight w:val="cyan"/>
        </w:rPr>
      </w:pPr>
      <w:r>
        <w:rPr>
          <w:iCs/>
        </w:rPr>
        <w:tab/>
      </w:r>
      <w:r w:rsidRPr="00E97077">
        <w:rPr>
          <w:i/>
          <w:iCs/>
        </w:rPr>
        <w:t>Art. 29. O advogado que se valer do concurso de colegas na prestação de serviços advocatícios, seja em caráter individual, seja no âmbito de sociedade de advogados ou de empresa ou entidade em que trabalhe, dispensar-lhes-á tratamento condigno, que não os torne subalternos seus nem lhes avilte os serviços prestados mediante remuneração incompatível com a natureza do trabalho profissional ou inferior ao mínimo fixado pela Tabela de Honorários que for aplicável.  Parágrafo único. Quando o aviltamento de honorários for praticado por empresas ou entidades públicas ou privadas, os advogados responsáveis pelo respectivo departamento ou gerência jurídica serão instados a corrigir o abuso, inclusive intervindo junto aos demais órgãos competentes e com poder de decisão da pessoa jurídica de que se trate, sem prejuízo das providências que a Ordem dos Advogados do Brasil possa adotar com o mesmo objetivo.</w:t>
      </w:r>
    </w:p>
    <w:p w14:paraId="2D69B6B6" w14:textId="77777777" w:rsidR="00C9135D" w:rsidRDefault="00C9135D" w:rsidP="00573B7A">
      <w:pPr>
        <w:ind w:firstLine="708"/>
      </w:pPr>
      <w:r w:rsidRPr="001A37AB">
        <w:t xml:space="preserve">Cabe ressaltar que o pregoeiro deve atuar de forma diligente e ativa com vistas a garantir a razoável duração do processo licitatório em atendimento ao já consagrado princípio de duração razoável do processo, estabelecido no Art. 5°, Inciso LXXVIII, da Constituição Federal de 1988, que não resta dúvidas deve ser observado tanto para demandas judiciais, quanto administrativas. Lembrando-se ainda que a efetividade dos certames licitatórios, se mede pelo atendimento das demandas da Administração Pública por meio idôneos e realizados em procedimentos e prazos públicos e coerentes de suas atividades. </w:t>
      </w:r>
    </w:p>
    <w:p w14:paraId="6CA9EFD7" w14:textId="019C0DE2" w:rsidR="00C92E02" w:rsidRPr="001179D1" w:rsidRDefault="005E76B8" w:rsidP="00271019">
      <w:pPr>
        <w:ind w:firstLine="708"/>
      </w:pPr>
      <w:r w:rsidRPr="00C06B8A">
        <w:t>Já no tocante a alegação da licitante</w:t>
      </w:r>
      <w:r w:rsidR="00F91487" w:rsidRPr="00C06B8A">
        <w:t xml:space="preserve"> ROMANO ADVOGADOS ASSOCIADOS</w:t>
      </w:r>
      <w:r w:rsidR="000575B9" w:rsidRPr="00C06B8A">
        <w:t xml:space="preserve">, de que </w:t>
      </w:r>
      <w:r w:rsidR="00F91487" w:rsidRPr="00C06B8A">
        <w:t>a vencedora não apresentou documentos obrigatórios para a habilitação, como a Certidão Negativa de Débitos Relativos a Créditos Tributários, tal certidão foi verifica pelo SICAF, desta forma consideramos a alegação improcedente.</w:t>
      </w:r>
      <w:r w:rsidR="000575B9">
        <w:t xml:space="preserve"> </w:t>
      </w:r>
    </w:p>
    <w:p w14:paraId="276FF153" w14:textId="199369EC" w:rsidR="000576D9" w:rsidRDefault="000576D9" w:rsidP="000576D9"/>
    <w:p w14:paraId="0C89BCD8" w14:textId="1F990872" w:rsidR="000576D9" w:rsidRDefault="000576D9" w:rsidP="00410E0D">
      <w:pPr>
        <w:ind w:firstLine="708"/>
      </w:pPr>
      <w:r>
        <w:t xml:space="preserve">VIII – </w:t>
      </w:r>
      <w:r w:rsidRPr="001179D1">
        <w:t>Da Conclusão e da Decisão d</w:t>
      </w:r>
      <w:r w:rsidR="00DB5F72">
        <w:t>o</w:t>
      </w:r>
      <w:r w:rsidRPr="001179D1">
        <w:t xml:space="preserve"> </w:t>
      </w:r>
      <w:r w:rsidR="00DB5F72">
        <w:t>Agente de Contratação</w:t>
      </w:r>
    </w:p>
    <w:p w14:paraId="7A4ADD62" w14:textId="77777777" w:rsidR="000576D9" w:rsidRDefault="000576D9" w:rsidP="00410E0D">
      <w:pPr>
        <w:ind w:firstLine="708"/>
      </w:pPr>
    </w:p>
    <w:p w14:paraId="6053EE83" w14:textId="77777777" w:rsidR="00F00662" w:rsidRDefault="000576D9" w:rsidP="00271019">
      <w:pPr>
        <w:ind w:firstLine="708"/>
        <w:rPr>
          <w:b/>
        </w:rPr>
      </w:pPr>
      <w:r w:rsidRPr="00271019">
        <w:t>Por todo o acima exposto</w:t>
      </w:r>
      <w:r w:rsidR="00271019" w:rsidRPr="00271019">
        <w:t>,</w:t>
      </w:r>
      <w:r w:rsidR="00F00662">
        <w:t xml:space="preserve"> e tendo como base a Lei 14.133/2021,</w:t>
      </w:r>
      <w:r w:rsidR="00271019" w:rsidRPr="00271019">
        <w:t xml:space="preserve"> </w:t>
      </w:r>
      <w:r w:rsidR="00F00662" w:rsidRPr="000575B9">
        <w:rPr>
          <w:rFonts w:cs="Calibri"/>
        </w:rPr>
        <w:t xml:space="preserve">os </w:t>
      </w:r>
      <w:r w:rsidR="00F00662" w:rsidRPr="000575B9">
        <w:t xml:space="preserve">termos do edital e todos os atos até então praticados; </w:t>
      </w:r>
      <w:r w:rsidR="00F00662">
        <w:t>o</w:t>
      </w:r>
      <w:r w:rsidR="00F00662" w:rsidRPr="000575B9">
        <w:t xml:space="preserve"> Pregoeir</w:t>
      </w:r>
      <w:r w:rsidR="00F00662">
        <w:t>o</w:t>
      </w:r>
      <w:r w:rsidR="00F00662" w:rsidRPr="000575B9">
        <w:t>, pautad</w:t>
      </w:r>
      <w:r w:rsidR="00F00662">
        <w:t>o</w:t>
      </w:r>
      <w:r w:rsidR="00F00662" w:rsidRPr="000575B9">
        <w:t xml:space="preserve"> nos princípios basilares da licitação pública, decide por admitir o</w:t>
      </w:r>
      <w:r w:rsidR="00F00662">
        <w:t>s</w:t>
      </w:r>
      <w:r w:rsidR="00F00662" w:rsidRPr="000575B9">
        <w:t xml:space="preserve"> presente</w:t>
      </w:r>
      <w:r w:rsidR="00F00662">
        <w:t>s</w:t>
      </w:r>
      <w:r w:rsidR="00F00662" w:rsidRPr="000575B9">
        <w:t xml:space="preserve"> recurso</w:t>
      </w:r>
      <w:r w:rsidR="00F00662">
        <w:t>s</w:t>
      </w:r>
      <w:r w:rsidR="00F00662" w:rsidRPr="000575B9">
        <w:t>, para, no mérito, julgá-lo</w:t>
      </w:r>
      <w:r w:rsidR="00F00662">
        <w:t>s</w:t>
      </w:r>
      <w:r w:rsidR="00F00662" w:rsidRPr="000575B9">
        <w:t xml:space="preserve"> </w:t>
      </w:r>
      <w:r w:rsidR="00F00662">
        <w:t xml:space="preserve">considero </w:t>
      </w:r>
      <w:r w:rsidR="00F00662" w:rsidRPr="00F00662">
        <w:rPr>
          <w:b/>
        </w:rPr>
        <w:t>PROCEDENTE</w:t>
      </w:r>
      <w:r w:rsidR="00F00662">
        <w:rPr>
          <w:b/>
        </w:rPr>
        <w:t>.</w:t>
      </w:r>
    </w:p>
    <w:p w14:paraId="7EAE73AB" w14:textId="18EABF37" w:rsidR="00271019" w:rsidRDefault="00F00662" w:rsidP="00271019">
      <w:pPr>
        <w:ind w:firstLine="708"/>
      </w:pPr>
      <w:r>
        <w:t>P</w:t>
      </w:r>
      <w:r w:rsidR="00271019" w:rsidRPr="00BE2138">
        <w:t>rezando por evitar que o recurso seja levado para instâncias superiores, o que impediria a contratação do objeto desta licitação até sua decisão final, prejudicando fortemente</w:t>
      </w:r>
      <w:r w:rsidR="00271019">
        <w:t xml:space="preserve"> o CRCRJ, </w:t>
      </w:r>
      <w:r w:rsidR="00271019" w:rsidRPr="00BE2138">
        <w:t xml:space="preserve">opino pela </w:t>
      </w:r>
      <w:r w:rsidR="00271019">
        <w:rPr>
          <w:b/>
        </w:rPr>
        <w:t>REVOGAÇÃO</w:t>
      </w:r>
      <w:r w:rsidR="00271019" w:rsidRPr="00BE2138">
        <w:t xml:space="preserve"> do certame com base no artigo 71, item II, da Lei 14.133/2021 </w:t>
      </w:r>
    </w:p>
    <w:p w14:paraId="04666D1B" w14:textId="77777777" w:rsidR="00F00662" w:rsidRPr="00BE2138" w:rsidRDefault="00F00662" w:rsidP="00271019">
      <w:pPr>
        <w:ind w:firstLine="708"/>
      </w:pPr>
    </w:p>
    <w:p w14:paraId="2865AAC4" w14:textId="77777777" w:rsidR="000576D9" w:rsidRDefault="000576D9" w:rsidP="00410E0D">
      <w:pPr>
        <w:ind w:firstLine="708"/>
      </w:pPr>
    </w:p>
    <w:p w14:paraId="59974D85" w14:textId="77777777" w:rsidR="000576D9" w:rsidRDefault="000576D9" w:rsidP="00410E0D">
      <w:pPr>
        <w:ind w:firstLine="708"/>
      </w:pPr>
    </w:p>
    <w:p w14:paraId="07F531CF" w14:textId="6CD504B0" w:rsidR="000576D9" w:rsidRDefault="000576D9" w:rsidP="000576D9">
      <w:pPr>
        <w:ind w:firstLine="708"/>
        <w:jc w:val="center"/>
      </w:pPr>
      <w:r>
        <w:t xml:space="preserve">Rio de Janeiro, </w:t>
      </w:r>
      <w:r w:rsidR="00A3762E">
        <w:t>1</w:t>
      </w:r>
      <w:r w:rsidR="004A6570">
        <w:t>6</w:t>
      </w:r>
      <w:r w:rsidR="00A3762E">
        <w:t xml:space="preserve"> de dezembro de 2024.</w:t>
      </w:r>
    </w:p>
    <w:p w14:paraId="26E55B0F" w14:textId="648480CD" w:rsidR="000576D9" w:rsidRPr="001179D1" w:rsidRDefault="000576D9" w:rsidP="000576D9">
      <w:pPr>
        <w:ind w:firstLine="708"/>
        <w:jc w:val="center"/>
      </w:pPr>
      <w:r>
        <w:t xml:space="preserve"> </w:t>
      </w:r>
    </w:p>
    <w:p w14:paraId="2B03B625" w14:textId="7821E632" w:rsidR="00DB5F72" w:rsidRDefault="004A6570" w:rsidP="00CE35D2">
      <w:pPr>
        <w:ind w:firstLine="708"/>
        <w:jc w:val="center"/>
      </w:pPr>
      <w:r>
        <w:t>Jorge Luiz Garcia Cardoso Valente</w:t>
      </w:r>
    </w:p>
    <w:p w14:paraId="66A2E44E" w14:textId="674F8C22" w:rsidR="00CE35D2" w:rsidRDefault="001F5850" w:rsidP="00CE35D2">
      <w:pPr>
        <w:ind w:firstLine="708"/>
        <w:jc w:val="center"/>
      </w:pPr>
      <w:r>
        <w:t>Pregoeiro</w:t>
      </w:r>
    </w:p>
    <w:sectPr w:rsidR="00CE35D2" w:rsidSect="008D6D94">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134" w:header="284" w:footer="22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866FB" w14:textId="77777777" w:rsidR="00C31819" w:rsidRDefault="00C31819">
      <w:r>
        <w:separator/>
      </w:r>
    </w:p>
  </w:endnote>
  <w:endnote w:type="continuationSeparator" w:id="0">
    <w:p w14:paraId="511D6A38" w14:textId="77777777" w:rsidR="00C31819" w:rsidRDefault="00C31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3AA0E" w14:textId="77777777" w:rsidR="006269B5" w:rsidRDefault="006269B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486FBFDD" w14:textId="77777777" w:rsidR="006269B5" w:rsidRDefault="006269B5">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C1DD5" w14:textId="77777777" w:rsidR="00CE653B" w:rsidRDefault="00CE653B" w:rsidP="00CE653B">
    <w:pPr>
      <w:pStyle w:val="Rodap"/>
      <w:jc w:val="center"/>
    </w:pPr>
    <w:r>
      <w:rPr>
        <w:noProof/>
      </w:rPr>
      <w:drawing>
        <wp:anchor distT="0" distB="0" distL="114300" distR="114300" simplePos="0" relativeHeight="251678208" behindDoc="0" locked="0" layoutInCell="1" allowOverlap="1" wp14:anchorId="7D502ACD" wp14:editId="0786FE20">
          <wp:simplePos x="0" y="0"/>
          <wp:positionH relativeFrom="column">
            <wp:posOffset>-3201035</wp:posOffset>
          </wp:positionH>
          <wp:positionV relativeFrom="paragraph">
            <wp:posOffset>-2929255</wp:posOffset>
          </wp:positionV>
          <wp:extent cx="4358244" cy="5592106"/>
          <wp:effectExtent l="0" t="0" r="0" b="0"/>
          <wp:wrapNone/>
          <wp:docPr id="9" name="Imagem 9" descr="Placa co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Placa co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rot="10800000">
                    <a:off x="0" y="0"/>
                    <a:ext cx="4358244" cy="5592106"/>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9232" behindDoc="0" locked="0" layoutInCell="1" allowOverlap="1" wp14:anchorId="60CFCAA5" wp14:editId="1E9DFE8D">
              <wp:simplePos x="0" y="0"/>
              <wp:positionH relativeFrom="margin">
                <wp:posOffset>3175</wp:posOffset>
              </wp:positionH>
              <wp:positionV relativeFrom="paragraph">
                <wp:posOffset>18671</wp:posOffset>
              </wp:positionV>
              <wp:extent cx="6454140" cy="22860"/>
              <wp:effectExtent l="0" t="0" r="22860" b="34290"/>
              <wp:wrapNone/>
              <wp:docPr id="3" name="Conector reto 3"/>
              <wp:cNvGraphicFramePr/>
              <a:graphic xmlns:a="http://schemas.openxmlformats.org/drawingml/2006/main">
                <a:graphicData uri="http://schemas.microsoft.com/office/word/2010/wordprocessingShape">
                  <wps:wsp>
                    <wps:cNvCnPr/>
                    <wps:spPr>
                      <a:xfrm flipV="1">
                        <a:off x="0" y="0"/>
                        <a:ext cx="6454140" cy="22860"/>
                      </a:xfrm>
                      <a:prstGeom prst="line">
                        <a:avLst/>
                      </a:prstGeom>
                      <a:ln>
                        <a:solidFill>
                          <a:schemeClr val="tx2">
                            <a:lumMod val="50000"/>
                          </a:schemeClr>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E545ECB" id="Conector reto 3" o:spid="_x0000_s1026" style="position:absolute;flip:y;z-index:251679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pt,1.45pt" to="508.4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" strokecolor="#0f243e [1615]">
              <w10:wrap anchorx="margin"/>
            </v:line>
          </w:pict>
        </mc:Fallback>
      </mc:AlternateContent>
    </w:r>
  </w:p>
  <w:p w14:paraId="0EB6584B" w14:textId="77777777" w:rsidR="00B66B23" w:rsidRPr="00B66B23" w:rsidRDefault="00B66B23" w:rsidP="00B66B23">
    <w:pPr>
      <w:spacing w:after="0"/>
      <w:ind w:left="-284" w:right="-284"/>
      <w:jc w:val="center"/>
      <w:rPr>
        <w:rFonts w:asciiTheme="majorHAnsi" w:hAnsiTheme="majorHAnsi" w:cstheme="majorHAnsi"/>
        <w:sz w:val="16"/>
        <w:szCs w:val="16"/>
      </w:rPr>
    </w:pPr>
    <w:r w:rsidRPr="00B66B23">
      <w:rPr>
        <w:rFonts w:asciiTheme="majorHAnsi" w:hAnsiTheme="majorHAnsi" w:cstheme="majorHAnsi"/>
        <w:sz w:val="16"/>
        <w:szCs w:val="16"/>
      </w:rPr>
      <w:t>Rua 1º de Março, 33 – Centro – Rio de Janeiro/RJ – Cep: 20.010-000</w:t>
    </w:r>
  </w:p>
  <w:p w14:paraId="0465DCE3" w14:textId="77777777" w:rsidR="00B66B23" w:rsidRPr="00B66B23" w:rsidRDefault="00B66B23" w:rsidP="00B66B23">
    <w:pPr>
      <w:spacing w:after="0"/>
      <w:ind w:left="-284" w:right="-284"/>
      <w:jc w:val="center"/>
      <w:rPr>
        <w:rFonts w:asciiTheme="majorHAnsi" w:hAnsiTheme="majorHAnsi" w:cstheme="majorHAnsi"/>
        <w:sz w:val="16"/>
        <w:szCs w:val="16"/>
      </w:rPr>
    </w:pPr>
    <w:r w:rsidRPr="00B66B23">
      <w:rPr>
        <w:rFonts w:asciiTheme="majorHAnsi" w:hAnsiTheme="majorHAnsi" w:cstheme="majorHAnsi"/>
        <w:sz w:val="16"/>
        <w:szCs w:val="16"/>
      </w:rPr>
      <w:t>Telefone: (21) 2216-9595</w:t>
    </w:r>
  </w:p>
  <w:p w14:paraId="2FCD9815" w14:textId="442A4E96" w:rsidR="00CE653B" w:rsidRPr="00B66B23" w:rsidRDefault="00784AC2" w:rsidP="00B66B23">
    <w:pPr>
      <w:spacing w:after="0"/>
      <w:ind w:left="-284" w:right="-284"/>
      <w:jc w:val="center"/>
      <w:rPr>
        <w:rFonts w:asciiTheme="majorHAnsi" w:hAnsiTheme="majorHAnsi" w:cstheme="majorHAnsi"/>
        <w:sz w:val="16"/>
        <w:szCs w:val="16"/>
      </w:rPr>
    </w:pPr>
    <w:hyperlink r:id="rId2" w:history="1">
      <w:r w:rsidR="00B66B23" w:rsidRPr="00B66B23">
        <w:rPr>
          <w:rStyle w:val="Hyperlink"/>
          <w:rFonts w:asciiTheme="majorHAnsi" w:hAnsiTheme="majorHAnsi" w:cstheme="majorHAnsi"/>
          <w:sz w:val="16"/>
          <w:szCs w:val="16"/>
        </w:rPr>
        <w:t>crcrj@crcrj.org.br</w:t>
      </w:r>
    </w:hyperlink>
    <w:r w:rsidR="00B66B23" w:rsidRPr="00B66B23">
      <w:rPr>
        <w:rFonts w:asciiTheme="majorHAnsi" w:hAnsiTheme="majorHAnsi" w:cstheme="majorHAnsi"/>
        <w:sz w:val="16"/>
        <w:szCs w:val="16"/>
      </w:rPr>
      <w:t xml:space="preserve"> – </w:t>
    </w:r>
    <w:hyperlink r:id="rId3" w:history="1">
      <w:r w:rsidR="00B66B23" w:rsidRPr="00B66B23">
        <w:rPr>
          <w:rStyle w:val="Hyperlink"/>
          <w:rFonts w:asciiTheme="majorHAnsi" w:hAnsiTheme="majorHAnsi" w:cstheme="majorHAnsi"/>
          <w:sz w:val="16"/>
          <w:szCs w:val="16"/>
        </w:rPr>
        <w:t>www.crc.org.br</w:t>
      </w:r>
    </w:hyperlink>
  </w:p>
  <w:sdt>
    <w:sdtPr>
      <w:id w:val="649562289"/>
      <w:docPartObj>
        <w:docPartGallery w:val="Page Numbers (Bottom of Page)"/>
        <w:docPartUnique/>
      </w:docPartObj>
    </w:sdtPr>
    <w:sdtEndPr/>
    <w:sdtContent>
      <w:p w14:paraId="07E761C7" w14:textId="255871E2" w:rsidR="00CE653B" w:rsidRDefault="00CE653B">
        <w:pPr>
          <w:pStyle w:val="Rodap"/>
          <w:jc w:val="center"/>
        </w:pPr>
        <w:r>
          <w:fldChar w:fldCharType="begin"/>
        </w:r>
        <w:r>
          <w:instrText>PAGE   \* MERGEFORMAT</w:instrText>
        </w:r>
        <w:r>
          <w:fldChar w:fldCharType="separate"/>
        </w:r>
        <w:r w:rsidR="00784AC2">
          <w:rPr>
            <w:noProof/>
          </w:rPr>
          <w:t>6</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01C22" w14:textId="77777777" w:rsidR="008D6D94" w:rsidRDefault="008D6D94" w:rsidP="008D6D94">
    <w:pPr>
      <w:pStyle w:val="Rodap"/>
      <w:jc w:val="center"/>
    </w:pPr>
    <w:r>
      <w:rPr>
        <w:noProof/>
      </w:rPr>
      <w:drawing>
        <wp:anchor distT="0" distB="0" distL="114300" distR="114300" simplePos="0" relativeHeight="251689472" behindDoc="0" locked="0" layoutInCell="1" allowOverlap="1" wp14:anchorId="41519285" wp14:editId="716EDD8B">
          <wp:simplePos x="0" y="0"/>
          <wp:positionH relativeFrom="column">
            <wp:posOffset>-3201035</wp:posOffset>
          </wp:positionH>
          <wp:positionV relativeFrom="paragraph">
            <wp:posOffset>-2929255</wp:posOffset>
          </wp:positionV>
          <wp:extent cx="4358244" cy="5592106"/>
          <wp:effectExtent l="0" t="0" r="0" b="0"/>
          <wp:wrapNone/>
          <wp:docPr id="18" name="Imagem 18" descr="Placa co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Placa co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rot="10800000">
                    <a:off x="0" y="0"/>
                    <a:ext cx="4358244" cy="5592106"/>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90496" behindDoc="0" locked="0" layoutInCell="1" allowOverlap="1" wp14:anchorId="4536068C" wp14:editId="44A5F5D0">
              <wp:simplePos x="0" y="0"/>
              <wp:positionH relativeFrom="margin">
                <wp:posOffset>3175</wp:posOffset>
              </wp:positionH>
              <wp:positionV relativeFrom="paragraph">
                <wp:posOffset>18671</wp:posOffset>
              </wp:positionV>
              <wp:extent cx="6454140" cy="22860"/>
              <wp:effectExtent l="0" t="0" r="22860" b="34290"/>
              <wp:wrapNone/>
              <wp:docPr id="17" name="Conector reto 17"/>
              <wp:cNvGraphicFramePr/>
              <a:graphic xmlns:a="http://schemas.openxmlformats.org/drawingml/2006/main">
                <a:graphicData uri="http://schemas.microsoft.com/office/word/2010/wordprocessingShape">
                  <wps:wsp>
                    <wps:cNvCnPr/>
                    <wps:spPr>
                      <a:xfrm flipV="1">
                        <a:off x="0" y="0"/>
                        <a:ext cx="6454140" cy="22860"/>
                      </a:xfrm>
                      <a:prstGeom prst="line">
                        <a:avLst/>
                      </a:prstGeom>
                      <a:ln>
                        <a:solidFill>
                          <a:schemeClr val="tx2">
                            <a:lumMod val="50000"/>
                          </a:schemeClr>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3E885B68" id="Conector reto 17" o:spid="_x0000_s1026" style="position:absolute;flip:y;z-index:251690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pt,1.45pt" to="508.4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" strokecolor="#0f243e [1615]">
              <w10:wrap anchorx="margin"/>
            </v:line>
          </w:pict>
        </mc:Fallback>
      </mc:AlternateContent>
    </w:r>
  </w:p>
  <w:p w14:paraId="0C972668" w14:textId="77777777" w:rsidR="00B66B23" w:rsidRPr="00B66B23" w:rsidRDefault="00B66B23" w:rsidP="00B66B23">
    <w:pPr>
      <w:spacing w:after="0"/>
      <w:ind w:left="-284" w:right="-284"/>
      <w:jc w:val="center"/>
      <w:rPr>
        <w:rFonts w:asciiTheme="majorHAnsi" w:hAnsiTheme="majorHAnsi" w:cstheme="majorHAnsi"/>
        <w:sz w:val="16"/>
        <w:szCs w:val="16"/>
      </w:rPr>
    </w:pPr>
    <w:r w:rsidRPr="00B66B23">
      <w:rPr>
        <w:rFonts w:asciiTheme="majorHAnsi" w:hAnsiTheme="majorHAnsi" w:cstheme="majorHAnsi"/>
        <w:sz w:val="16"/>
        <w:szCs w:val="16"/>
      </w:rPr>
      <w:t>Rua 1º de Março, 33 – Centro – Rio de Janeiro/RJ – Cep: 20.010-000</w:t>
    </w:r>
  </w:p>
  <w:p w14:paraId="1DA91503" w14:textId="77777777" w:rsidR="00B66B23" w:rsidRPr="00B66B23" w:rsidRDefault="00B66B23" w:rsidP="00B66B23">
    <w:pPr>
      <w:spacing w:after="0"/>
      <w:ind w:left="-284" w:right="-284"/>
      <w:jc w:val="center"/>
      <w:rPr>
        <w:rFonts w:asciiTheme="majorHAnsi" w:hAnsiTheme="majorHAnsi" w:cstheme="majorHAnsi"/>
        <w:sz w:val="16"/>
        <w:szCs w:val="16"/>
      </w:rPr>
    </w:pPr>
    <w:r w:rsidRPr="00B66B23">
      <w:rPr>
        <w:rFonts w:asciiTheme="majorHAnsi" w:hAnsiTheme="majorHAnsi" w:cstheme="majorHAnsi"/>
        <w:sz w:val="16"/>
        <w:szCs w:val="16"/>
      </w:rPr>
      <w:t>Telefone: (21) 2216-9595</w:t>
    </w:r>
  </w:p>
  <w:p w14:paraId="7A97D486" w14:textId="77777777" w:rsidR="00B66B23" w:rsidRPr="00B66B23" w:rsidRDefault="00784AC2" w:rsidP="00B66B23">
    <w:pPr>
      <w:spacing w:after="0"/>
      <w:ind w:left="-284" w:right="-284"/>
      <w:jc w:val="center"/>
      <w:rPr>
        <w:rFonts w:asciiTheme="majorHAnsi" w:hAnsiTheme="majorHAnsi" w:cstheme="majorHAnsi"/>
        <w:sz w:val="16"/>
        <w:szCs w:val="16"/>
      </w:rPr>
    </w:pPr>
    <w:hyperlink r:id="rId2" w:history="1">
      <w:r w:rsidR="00B66B23" w:rsidRPr="00B66B23">
        <w:rPr>
          <w:rStyle w:val="Hyperlink"/>
          <w:rFonts w:asciiTheme="majorHAnsi" w:hAnsiTheme="majorHAnsi" w:cstheme="majorHAnsi"/>
          <w:sz w:val="16"/>
          <w:szCs w:val="16"/>
        </w:rPr>
        <w:t>crcrj@crcrj.org.br</w:t>
      </w:r>
    </w:hyperlink>
    <w:r w:rsidR="00B66B23" w:rsidRPr="00B66B23">
      <w:rPr>
        <w:rFonts w:asciiTheme="majorHAnsi" w:hAnsiTheme="majorHAnsi" w:cstheme="majorHAnsi"/>
        <w:sz w:val="16"/>
        <w:szCs w:val="16"/>
      </w:rPr>
      <w:t xml:space="preserve"> – </w:t>
    </w:r>
    <w:hyperlink r:id="rId3" w:history="1">
      <w:r w:rsidR="00B66B23" w:rsidRPr="00B66B23">
        <w:rPr>
          <w:rStyle w:val="Hyperlink"/>
          <w:rFonts w:asciiTheme="majorHAnsi" w:hAnsiTheme="majorHAnsi" w:cstheme="majorHAnsi"/>
          <w:sz w:val="16"/>
          <w:szCs w:val="16"/>
        </w:rPr>
        <w:t>www.crc.org.br</w:t>
      </w:r>
    </w:hyperlink>
  </w:p>
  <w:p w14:paraId="650C8866" w14:textId="73AD973E" w:rsidR="008D6D94" w:rsidRDefault="008D6D9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A74B5" w14:textId="77777777" w:rsidR="00C31819" w:rsidRDefault="00C31819">
      <w:r>
        <w:separator/>
      </w:r>
    </w:p>
  </w:footnote>
  <w:footnote w:type="continuationSeparator" w:id="0">
    <w:p w14:paraId="4C531030" w14:textId="77777777" w:rsidR="00C31819" w:rsidRDefault="00C318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6FA63" w14:textId="77777777" w:rsidR="00B66B23" w:rsidRDefault="00B66B23">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CA5C8" w14:textId="541EF5B4" w:rsidR="006269B5" w:rsidRDefault="00B66B23" w:rsidP="00EF7C60">
    <w:pPr>
      <w:pStyle w:val="Cabealho"/>
      <w:tabs>
        <w:tab w:val="clear" w:pos="4419"/>
        <w:tab w:val="clear" w:pos="8838"/>
        <w:tab w:val="left" w:pos="3801"/>
      </w:tabs>
      <w:spacing w:before="120"/>
      <w:jc w:val="center"/>
      <w:rPr>
        <w:noProof/>
      </w:rPr>
    </w:pPr>
    <w:r w:rsidRPr="00F13E18">
      <w:rPr>
        <w:noProof/>
        <w:szCs w:val="16"/>
      </w:rPr>
      <w:drawing>
        <wp:inline distT="0" distB="0" distL="0" distR="0" wp14:anchorId="7AF18643" wp14:editId="3E4ABC1A">
          <wp:extent cx="1788552" cy="628650"/>
          <wp:effectExtent l="0" t="0" r="2540" b="0"/>
          <wp:docPr id="11" name="Imagem 11" descr="G:\Logos\af_logo_horizontal_crc-rj_jun_14_curv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G:\Logos\af_logo_horizontal_crc-rj_jun_14_curvas.PNG"/>
                  <pic:cNvPicPr>
                    <a:picLocks noChangeAspect="1" noChangeArrowheads="1"/>
                  </pic:cNvPicPr>
                </pic:nvPicPr>
                <pic:blipFill>
                  <a:blip r:embed="rId1" cstate="print">
                    <a:extLst>
                      <a:ext uri="{28A0092B-C50C-407E-A947-70E740481C1C}">
                        <a14:useLocalDpi xmlns:a14="http://schemas.microsoft.com/office/drawing/2010/main" val="0"/>
                      </a:ext>
                    </a:extLst>
                  </a:blip>
                  <a:srcRect t="23718" b="23718"/>
                  <a:stretch>
                    <a:fillRect/>
                  </a:stretch>
                </pic:blipFill>
                <pic:spPr bwMode="auto">
                  <a:xfrm>
                    <a:off x="0" y="0"/>
                    <a:ext cx="1800964" cy="633013"/>
                  </a:xfrm>
                  <a:prstGeom prst="rect">
                    <a:avLst/>
                  </a:prstGeom>
                  <a:noFill/>
                  <a:ln>
                    <a:noFill/>
                  </a:ln>
                </pic:spPr>
              </pic:pic>
            </a:graphicData>
          </a:graphic>
        </wp:inline>
      </w:drawing>
    </w:r>
    <w:r w:rsidR="002C58B2">
      <w:rPr>
        <w:noProof/>
      </w:rPr>
      <w:drawing>
        <wp:anchor distT="0" distB="0" distL="114300" distR="114300" simplePos="0" relativeHeight="251675136" behindDoc="0" locked="0" layoutInCell="1" allowOverlap="1" wp14:anchorId="2D902876" wp14:editId="792E3400">
          <wp:simplePos x="0" y="0"/>
          <wp:positionH relativeFrom="column">
            <wp:posOffset>5221605</wp:posOffset>
          </wp:positionH>
          <wp:positionV relativeFrom="paragraph">
            <wp:posOffset>-1425575</wp:posOffset>
          </wp:positionV>
          <wp:extent cx="3817332" cy="4898433"/>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pic:cNvPicPr/>
                </pic:nvPicPr>
                <pic:blipFill>
                  <a:blip r:embed="rId2">
                    <a:extLst>
                      <a:ext uri="{28A0092B-C50C-407E-A947-70E740481C1C}">
                        <a14:useLocalDpi xmlns:a14="http://schemas.microsoft.com/office/drawing/2010/main" val="0"/>
                      </a:ext>
                    </a:extLst>
                  </a:blip>
                  <a:stretch>
                    <a:fillRect/>
                  </a:stretch>
                </pic:blipFill>
                <pic:spPr>
                  <a:xfrm>
                    <a:off x="0" y="0"/>
                    <a:ext cx="3817332" cy="4898433"/>
                  </a:xfrm>
                  <a:prstGeom prst="rect">
                    <a:avLst/>
                  </a:prstGeom>
                </pic:spPr>
              </pic:pic>
            </a:graphicData>
          </a:graphic>
          <wp14:sizeRelH relativeFrom="margin">
            <wp14:pctWidth>0</wp14:pctWidth>
          </wp14:sizeRelH>
          <wp14:sizeRelV relativeFrom="margin">
            <wp14:pctHeight>0</wp14:pctHeight>
          </wp14:sizeRelV>
        </wp:anchor>
      </w:drawing>
    </w:r>
    <w:r w:rsidR="00AA2CAE">
      <w:rPr>
        <w:noProof/>
        <w:szCs w:val="22"/>
      </w:rPr>
      <mc:AlternateContent>
        <mc:Choice Requires="wps">
          <w:drawing>
            <wp:anchor distT="0" distB="0" distL="114300" distR="114300" simplePos="0" relativeHeight="251657728" behindDoc="0" locked="0" layoutInCell="1" allowOverlap="1" wp14:anchorId="603E400E" wp14:editId="3BCA14D4">
              <wp:simplePos x="0" y="0"/>
              <wp:positionH relativeFrom="column">
                <wp:posOffset>4509770</wp:posOffset>
              </wp:positionH>
              <wp:positionV relativeFrom="paragraph">
                <wp:posOffset>-244475</wp:posOffset>
              </wp:positionV>
              <wp:extent cx="1212215" cy="1132840"/>
              <wp:effectExtent l="0" t="0" r="0" b="0"/>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215" cy="1132840"/>
                      </a:xfrm>
                      <a:prstGeom prst="rect">
                        <a:avLst/>
                      </a:prstGeom>
                      <a:noFill/>
                      <a:ln>
                        <a:noFill/>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5192F1F" w14:textId="205EF897" w:rsidR="006269B5" w:rsidRDefault="006269B5"/>
                      </w:txbxContent>
                    </wps:txbx>
                    <wps:bodyPr rot="0" vert="horz" wrap="non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603E400E" id="_x0000_t202" coordsize="21600,21600" o:spt="202" path="m,l,21600r21600,l21600,xe">
              <v:stroke joinstyle="miter"/>
              <v:path gradientshapeok="t" o:connecttype="rect"/>
            </v:shapetype>
            <v:shape id="Text Box 9" o:spid="_x0000_s1026" type="#_x0000_t202" style="position:absolute;left:0;text-align:left;margin-left:355.1pt;margin-top:-19.25pt;width:95.45pt;height:89.2pt;z-index:251657728;visibility:visible;mso-wrap-style:non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" filled="f" stroked="f">
              <v:textbox style="mso-fit-shape-to-text:t">
                <w:txbxContent>
                  <w:p w14:paraId="35192F1F" w14:textId="205EF897" w:rsidR="006269B5" w:rsidRDefault="006269B5"/>
                </w:txbxContent>
              </v:textbox>
            </v:shape>
          </w:pict>
        </mc:Fallback>
      </mc:AlternateContent>
    </w:r>
    <w:r w:rsidR="002C58B2">
      <w:rPr>
        <w:noProof/>
      </w:rPr>
      <w:t xml:space="preserve"> </w:t>
    </w:r>
  </w:p>
  <w:p w14:paraId="7731CA16" w14:textId="77777777" w:rsidR="00853CBD" w:rsidRDefault="00853CBD" w:rsidP="00EF7C60">
    <w:pPr>
      <w:pStyle w:val="Cabealho"/>
      <w:tabs>
        <w:tab w:val="clear" w:pos="4419"/>
        <w:tab w:val="clear" w:pos="8838"/>
        <w:tab w:val="left" w:pos="3801"/>
      </w:tabs>
      <w:spacing w:after="0"/>
      <w:jc w:val="center"/>
      <w:rPr>
        <w:noProof/>
      </w:rPr>
    </w:pPr>
  </w:p>
  <w:p w14:paraId="61872790" w14:textId="1AB78D10" w:rsidR="000144D4" w:rsidRDefault="000144D4" w:rsidP="00EF7C60">
    <w:pPr>
      <w:pStyle w:val="Cabealho"/>
      <w:tabs>
        <w:tab w:val="clear" w:pos="4419"/>
        <w:tab w:val="clear" w:pos="8838"/>
        <w:tab w:val="left" w:pos="3801"/>
      </w:tabs>
      <w:spacing w:after="0"/>
      <w:rPr>
        <w:noProof/>
      </w:rPr>
    </w:pPr>
  </w:p>
  <w:p w14:paraId="15151D8E" w14:textId="0EAB5909" w:rsidR="00477F02" w:rsidRDefault="00477F02" w:rsidP="00EF7C60">
    <w:pPr>
      <w:pStyle w:val="Cabealho"/>
      <w:tabs>
        <w:tab w:val="clear" w:pos="4419"/>
        <w:tab w:val="clear" w:pos="8838"/>
        <w:tab w:val="left" w:pos="3801"/>
      </w:tabs>
      <w:spacing w:after="0"/>
      <w:rPr>
        <w:noProof/>
      </w:rPr>
    </w:pPr>
    <w:r>
      <w:rPr>
        <w:noProof/>
      </w:rPr>
      <mc:AlternateContent>
        <mc:Choice Requires="wps">
          <w:drawing>
            <wp:anchor distT="0" distB="0" distL="114300" distR="114300" simplePos="0" relativeHeight="251676160" behindDoc="0" locked="0" layoutInCell="1" allowOverlap="1" wp14:anchorId="5CE6B17C" wp14:editId="43C49900">
              <wp:simplePos x="0" y="0"/>
              <wp:positionH relativeFrom="margin">
                <wp:posOffset>0</wp:posOffset>
              </wp:positionH>
              <wp:positionV relativeFrom="paragraph">
                <wp:posOffset>7620</wp:posOffset>
              </wp:positionV>
              <wp:extent cx="6454140" cy="22860"/>
              <wp:effectExtent l="0" t="0" r="22860" b="34290"/>
              <wp:wrapNone/>
              <wp:docPr id="1" name="Conector reto 1"/>
              <wp:cNvGraphicFramePr/>
              <a:graphic xmlns:a="http://schemas.openxmlformats.org/drawingml/2006/main">
                <a:graphicData uri="http://schemas.microsoft.com/office/word/2010/wordprocessingShape">
                  <wps:wsp>
                    <wps:cNvCnPr/>
                    <wps:spPr>
                      <a:xfrm flipV="1">
                        <a:off x="0" y="0"/>
                        <a:ext cx="6454140" cy="22860"/>
                      </a:xfrm>
                      <a:prstGeom prst="line">
                        <a:avLst/>
                      </a:prstGeom>
                      <a:ln>
                        <a:solidFill>
                          <a:schemeClr val="tx2">
                            <a:lumMod val="50000"/>
                          </a:schemeClr>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5C27813D" id="Conector reto 1" o:spid="_x0000_s1026" style="position:absolute;flip:y;z-index:251676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pt" to="508.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" strokecolor="#0f243e [1615]">
              <w10:wrap anchorx="margin"/>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C1346" w14:textId="6B452C71" w:rsidR="008D6D94" w:rsidRDefault="00B66B23" w:rsidP="008D6D94">
    <w:pPr>
      <w:pStyle w:val="Cabealho"/>
      <w:tabs>
        <w:tab w:val="clear" w:pos="4419"/>
        <w:tab w:val="clear" w:pos="8838"/>
        <w:tab w:val="left" w:pos="3801"/>
      </w:tabs>
      <w:spacing w:before="120"/>
      <w:jc w:val="center"/>
      <w:rPr>
        <w:noProof/>
      </w:rPr>
    </w:pPr>
    <w:r w:rsidRPr="00F13E18">
      <w:rPr>
        <w:noProof/>
        <w:szCs w:val="16"/>
      </w:rPr>
      <w:drawing>
        <wp:inline distT="0" distB="0" distL="0" distR="0" wp14:anchorId="75278624" wp14:editId="0852020D">
          <wp:extent cx="1788552" cy="628650"/>
          <wp:effectExtent l="0" t="0" r="2540" b="0"/>
          <wp:docPr id="5" name="Imagem 5" descr="G:\Logos\af_logo_horizontal_crc-rj_jun_14_curv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G:\Logos\af_logo_horizontal_crc-rj_jun_14_curvas.PNG"/>
                  <pic:cNvPicPr>
                    <a:picLocks noChangeAspect="1" noChangeArrowheads="1"/>
                  </pic:cNvPicPr>
                </pic:nvPicPr>
                <pic:blipFill>
                  <a:blip r:embed="rId1" cstate="print">
                    <a:extLst>
                      <a:ext uri="{28A0092B-C50C-407E-A947-70E740481C1C}">
                        <a14:useLocalDpi xmlns:a14="http://schemas.microsoft.com/office/drawing/2010/main" val="0"/>
                      </a:ext>
                    </a:extLst>
                  </a:blip>
                  <a:srcRect t="23718" b="23718"/>
                  <a:stretch>
                    <a:fillRect/>
                  </a:stretch>
                </pic:blipFill>
                <pic:spPr bwMode="auto">
                  <a:xfrm>
                    <a:off x="0" y="0"/>
                    <a:ext cx="1800964" cy="633013"/>
                  </a:xfrm>
                  <a:prstGeom prst="rect">
                    <a:avLst/>
                  </a:prstGeom>
                  <a:noFill/>
                  <a:ln>
                    <a:noFill/>
                  </a:ln>
                </pic:spPr>
              </pic:pic>
            </a:graphicData>
          </a:graphic>
        </wp:inline>
      </w:drawing>
    </w:r>
    <w:r w:rsidR="008D6D94">
      <w:rPr>
        <w:noProof/>
      </w:rPr>
      <w:drawing>
        <wp:anchor distT="0" distB="0" distL="114300" distR="114300" simplePos="0" relativeHeight="251686400" behindDoc="0" locked="0" layoutInCell="1" allowOverlap="1" wp14:anchorId="2C89A61F" wp14:editId="37B6B13A">
          <wp:simplePos x="0" y="0"/>
          <wp:positionH relativeFrom="column">
            <wp:posOffset>5221605</wp:posOffset>
          </wp:positionH>
          <wp:positionV relativeFrom="paragraph">
            <wp:posOffset>-1425575</wp:posOffset>
          </wp:positionV>
          <wp:extent cx="3817332" cy="4898433"/>
          <wp:effectExtent l="0" t="0" r="0" b="0"/>
          <wp:wrapNone/>
          <wp:docPr id="15" name="Imagem 15" descr="Placa co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15" descr="Placa com fundo preto&#10;&#10;Descrição gerad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3817332" cy="4898433"/>
                  </a:xfrm>
                  <a:prstGeom prst="rect">
                    <a:avLst/>
                  </a:prstGeom>
                </pic:spPr>
              </pic:pic>
            </a:graphicData>
          </a:graphic>
          <wp14:sizeRelH relativeFrom="margin">
            <wp14:pctWidth>0</wp14:pctWidth>
          </wp14:sizeRelH>
          <wp14:sizeRelV relativeFrom="margin">
            <wp14:pctHeight>0</wp14:pctHeight>
          </wp14:sizeRelV>
        </wp:anchor>
      </w:drawing>
    </w:r>
    <w:r w:rsidR="008D6D94">
      <w:rPr>
        <w:noProof/>
        <w:szCs w:val="22"/>
      </w:rPr>
      <mc:AlternateContent>
        <mc:Choice Requires="wps">
          <w:drawing>
            <wp:anchor distT="0" distB="0" distL="114300" distR="114300" simplePos="0" relativeHeight="251685376" behindDoc="0" locked="0" layoutInCell="1" allowOverlap="1" wp14:anchorId="76B9E039" wp14:editId="0A87C7A3">
              <wp:simplePos x="0" y="0"/>
              <wp:positionH relativeFrom="column">
                <wp:posOffset>4509770</wp:posOffset>
              </wp:positionH>
              <wp:positionV relativeFrom="paragraph">
                <wp:posOffset>-244475</wp:posOffset>
              </wp:positionV>
              <wp:extent cx="1212215" cy="1132840"/>
              <wp:effectExtent l="0" t="0" r="0" b="0"/>
              <wp:wrapNone/>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215" cy="1132840"/>
                      </a:xfrm>
                      <a:prstGeom prst="rect">
                        <a:avLst/>
                      </a:prstGeom>
                      <a:noFill/>
                      <a:ln>
                        <a:noFill/>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360C49D" w14:textId="77777777" w:rsidR="008D6D94" w:rsidRDefault="008D6D94" w:rsidP="008D6D94"/>
                      </w:txbxContent>
                    </wps:txbx>
                    <wps:bodyPr rot="0" vert="horz" wrap="non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76B9E039" id="_x0000_t202" coordsize="21600,21600" o:spt="202" path="m,l,21600r21600,l21600,xe">
              <v:stroke joinstyle="miter"/>
              <v:path gradientshapeok="t" o:connecttype="rect"/>
            </v:shapetype>
            <v:shape id="_x0000_s1027" type="#_x0000_t202" style="position:absolute;left:0;text-align:left;margin-left:355.1pt;margin-top:-19.25pt;width:95.45pt;height:89.2pt;z-index:251685376;visibility:visible;mso-wrap-style:non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" filled="f" stroked="f">
              <v:textbox style="mso-fit-shape-to-text:t">
                <w:txbxContent>
                  <w:p w14:paraId="3360C49D" w14:textId="77777777" w:rsidR="008D6D94" w:rsidRDefault="008D6D94" w:rsidP="008D6D94"/>
                </w:txbxContent>
              </v:textbox>
            </v:shape>
          </w:pict>
        </mc:Fallback>
      </mc:AlternateContent>
    </w:r>
    <w:r w:rsidR="008D6D94">
      <w:rPr>
        <w:noProof/>
      </w:rPr>
      <w:t xml:space="preserve"> </w:t>
    </w:r>
  </w:p>
  <w:p w14:paraId="7BFC5A24" w14:textId="77777777" w:rsidR="008D6D94" w:rsidRDefault="008D6D94" w:rsidP="008D6D94">
    <w:pPr>
      <w:pStyle w:val="Cabealho"/>
      <w:tabs>
        <w:tab w:val="clear" w:pos="4419"/>
        <w:tab w:val="clear" w:pos="8838"/>
        <w:tab w:val="left" w:pos="3801"/>
      </w:tabs>
      <w:spacing w:after="0"/>
      <w:jc w:val="center"/>
      <w:rPr>
        <w:noProof/>
      </w:rPr>
    </w:pPr>
  </w:p>
  <w:p w14:paraId="1B1AFEA2" w14:textId="77777777" w:rsidR="008D6D94" w:rsidRDefault="008D6D94" w:rsidP="008D6D94">
    <w:pPr>
      <w:pStyle w:val="Cabealho"/>
      <w:tabs>
        <w:tab w:val="clear" w:pos="4419"/>
        <w:tab w:val="clear" w:pos="8838"/>
        <w:tab w:val="left" w:pos="3801"/>
      </w:tabs>
      <w:spacing w:after="0"/>
      <w:rPr>
        <w:noProof/>
      </w:rPr>
    </w:pPr>
  </w:p>
  <w:p w14:paraId="75A74186" w14:textId="77777777" w:rsidR="008D6D94" w:rsidRDefault="008D6D94" w:rsidP="008D6D94">
    <w:pPr>
      <w:pStyle w:val="Cabealho"/>
      <w:tabs>
        <w:tab w:val="clear" w:pos="4419"/>
        <w:tab w:val="clear" w:pos="8838"/>
        <w:tab w:val="left" w:pos="3801"/>
      </w:tabs>
      <w:spacing w:after="0"/>
      <w:rPr>
        <w:noProof/>
      </w:rPr>
    </w:pPr>
    <w:r>
      <w:rPr>
        <w:noProof/>
      </w:rPr>
      <mc:AlternateContent>
        <mc:Choice Requires="wps">
          <w:drawing>
            <wp:anchor distT="0" distB="0" distL="114300" distR="114300" simplePos="0" relativeHeight="251687424" behindDoc="0" locked="0" layoutInCell="1" allowOverlap="1" wp14:anchorId="6B901EC4" wp14:editId="12F94688">
              <wp:simplePos x="0" y="0"/>
              <wp:positionH relativeFrom="margin">
                <wp:posOffset>0</wp:posOffset>
              </wp:positionH>
              <wp:positionV relativeFrom="paragraph">
                <wp:posOffset>7620</wp:posOffset>
              </wp:positionV>
              <wp:extent cx="6454140" cy="22860"/>
              <wp:effectExtent l="0" t="0" r="22860" b="34290"/>
              <wp:wrapNone/>
              <wp:docPr id="14" name="Conector reto 14"/>
              <wp:cNvGraphicFramePr/>
              <a:graphic xmlns:a="http://schemas.openxmlformats.org/drawingml/2006/main">
                <a:graphicData uri="http://schemas.microsoft.com/office/word/2010/wordprocessingShape">
                  <wps:wsp>
                    <wps:cNvCnPr/>
                    <wps:spPr>
                      <a:xfrm flipV="1">
                        <a:off x="0" y="0"/>
                        <a:ext cx="6454140" cy="22860"/>
                      </a:xfrm>
                      <a:prstGeom prst="line">
                        <a:avLst/>
                      </a:prstGeom>
                      <a:ln>
                        <a:solidFill>
                          <a:schemeClr val="tx2">
                            <a:lumMod val="50000"/>
                          </a:schemeClr>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E6B2DD3" id="Conector reto 14" o:spid="_x0000_s1026" style="position:absolute;flip:y;z-index:251687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pt" to="508.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" strokecolor="#0f243e [1615]">
              <w10:wrap anchorx="margin"/>
            </v:line>
          </w:pict>
        </mc:Fallback>
      </mc:AlternateContent>
    </w:r>
  </w:p>
  <w:p w14:paraId="5D6147C6" w14:textId="05F8D9F4" w:rsidR="008D6D94" w:rsidRDefault="008D6D9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ED3A8B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4C86EB2"/>
    <w:multiLevelType w:val="singleLevel"/>
    <w:tmpl w:val="BC744DF4"/>
    <w:lvl w:ilvl="0">
      <w:start w:val="1"/>
      <w:numFmt w:val="lowerLetter"/>
      <w:lvlText w:val="%1)"/>
      <w:lvlJc w:val="left"/>
      <w:pPr>
        <w:tabs>
          <w:tab w:val="num" w:pos="1778"/>
        </w:tabs>
        <w:ind w:left="1778" w:hanging="360"/>
      </w:pPr>
      <w:rPr>
        <w:rFonts w:hint="default"/>
      </w:rPr>
    </w:lvl>
  </w:abstractNum>
  <w:abstractNum w:abstractNumId="2" w15:restartNumberingAfterBreak="0">
    <w:nsid w:val="183F5EE2"/>
    <w:multiLevelType w:val="singleLevel"/>
    <w:tmpl w:val="7C843DA8"/>
    <w:lvl w:ilvl="0">
      <w:start w:val="8"/>
      <w:numFmt w:val="decimal"/>
      <w:lvlText w:val="%1."/>
      <w:lvlJc w:val="left"/>
      <w:pPr>
        <w:tabs>
          <w:tab w:val="num" w:pos="1425"/>
        </w:tabs>
        <w:ind w:left="1425" w:hanging="1425"/>
      </w:pPr>
      <w:rPr>
        <w:rFonts w:hint="default"/>
      </w:rPr>
    </w:lvl>
  </w:abstractNum>
  <w:abstractNum w:abstractNumId="3" w15:restartNumberingAfterBreak="0">
    <w:nsid w:val="29A02BCD"/>
    <w:multiLevelType w:val="hybridMultilevel"/>
    <w:tmpl w:val="497C963E"/>
    <w:lvl w:ilvl="0" w:tplc="B240C724">
      <w:start w:val="9"/>
      <w:numFmt w:val="decimal"/>
      <w:lvlText w:val="%1."/>
      <w:lvlJc w:val="left"/>
      <w:pPr>
        <w:ind w:left="2214" w:hanging="360"/>
      </w:pPr>
      <w:rPr>
        <w:rFonts w:hint="default"/>
      </w:rPr>
    </w:lvl>
    <w:lvl w:ilvl="1" w:tplc="04160019" w:tentative="1">
      <w:start w:val="1"/>
      <w:numFmt w:val="lowerLetter"/>
      <w:lvlText w:val="%2."/>
      <w:lvlJc w:val="left"/>
      <w:pPr>
        <w:ind w:left="2934" w:hanging="360"/>
      </w:pPr>
    </w:lvl>
    <w:lvl w:ilvl="2" w:tplc="0416001B" w:tentative="1">
      <w:start w:val="1"/>
      <w:numFmt w:val="lowerRoman"/>
      <w:lvlText w:val="%3."/>
      <w:lvlJc w:val="right"/>
      <w:pPr>
        <w:ind w:left="3654" w:hanging="180"/>
      </w:pPr>
    </w:lvl>
    <w:lvl w:ilvl="3" w:tplc="0416000F" w:tentative="1">
      <w:start w:val="1"/>
      <w:numFmt w:val="decimal"/>
      <w:lvlText w:val="%4."/>
      <w:lvlJc w:val="left"/>
      <w:pPr>
        <w:ind w:left="4374" w:hanging="360"/>
      </w:pPr>
    </w:lvl>
    <w:lvl w:ilvl="4" w:tplc="04160019" w:tentative="1">
      <w:start w:val="1"/>
      <w:numFmt w:val="lowerLetter"/>
      <w:lvlText w:val="%5."/>
      <w:lvlJc w:val="left"/>
      <w:pPr>
        <w:ind w:left="5094" w:hanging="360"/>
      </w:pPr>
    </w:lvl>
    <w:lvl w:ilvl="5" w:tplc="0416001B" w:tentative="1">
      <w:start w:val="1"/>
      <w:numFmt w:val="lowerRoman"/>
      <w:lvlText w:val="%6."/>
      <w:lvlJc w:val="right"/>
      <w:pPr>
        <w:ind w:left="5814" w:hanging="180"/>
      </w:pPr>
    </w:lvl>
    <w:lvl w:ilvl="6" w:tplc="0416000F" w:tentative="1">
      <w:start w:val="1"/>
      <w:numFmt w:val="decimal"/>
      <w:lvlText w:val="%7."/>
      <w:lvlJc w:val="left"/>
      <w:pPr>
        <w:ind w:left="6534" w:hanging="360"/>
      </w:pPr>
    </w:lvl>
    <w:lvl w:ilvl="7" w:tplc="04160019" w:tentative="1">
      <w:start w:val="1"/>
      <w:numFmt w:val="lowerLetter"/>
      <w:lvlText w:val="%8."/>
      <w:lvlJc w:val="left"/>
      <w:pPr>
        <w:ind w:left="7254" w:hanging="360"/>
      </w:pPr>
    </w:lvl>
    <w:lvl w:ilvl="8" w:tplc="0416001B" w:tentative="1">
      <w:start w:val="1"/>
      <w:numFmt w:val="lowerRoman"/>
      <w:lvlText w:val="%9."/>
      <w:lvlJc w:val="right"/>
      <w:pPr>
        <w:ind w:left="7974" w:hanging="180"/>
      </w:pPr>
    </w:lvl>
  </w:abstractNum>
  <w:abstractNum w:abstractNumId="4" w15:restartNumberingAfterBreak="0">
    <w:nsid w:val="2BA63B91"/>
    <w:multiLevelType w:val="singleLevel"/>
    <w:tmpl w:val="E046733C"/>
    <w:lvl w:ilvl="0">
      <w:start w:val="1"/>
      <w:numFmt w:val="lowerLetter"/>
      <w:lvlText w:val="%1)"/>
      <w:lvlJc w:val="left"/>
      <w:pPr>
        <w:tabs>
          <w:tab w:val="num" w:pos="1778"/>
        </w:tabs>
        <w:ind w:left="1778" w:hanging="360"/>
      </w:pPr>
      <w:rPr>
        <w:rFonts w:hint="default"/>
      </w:rPr>
    </w:lvl>
  </w:abstractNum>
  <w:abstractNum w:abstractNumId="5" w15:restartNumberingAfterBreak="0">
    <w:nsid w:val="43914BDE"/>
    <w:multiLevelType w:val="multilevel"/>
    <w:tmpl w:val="B35AF910"/>
    <w:lvl w:ilvl="0">
      <w:start w:val="9"/>
      <w:numFmt w:val="decimal"/>
      <w:lvlText w:val="%1"/>
      <w:lvlJc w:val="left"/>
      <w:pPr>
        <w:ind w:left="510" w:hanging="510"/>
      </w:pPr>
      <w:rPr>
        <w:rFonts w:hint="default"/>
      </w:rPr>
    </w:lvl>
    <w:lvl w:ilvl="1">
      <w:start w:val="1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33F4C79"/>
    <w:multiLevelType w:val="singleLevel"/>
    <w:tmpl w:val="EA04464A"/>
    <w:lvl w:ilvl="0">
      <w:start w:val="2"/>
      <w:numFmt w:val="decimal"/>
      <w:lvlText w:val="%1."/>
      <w:lvlJc w:val="left"/>
      <w:pPr>
        <w:tabs>
          <w:tab w:val="num" w:pos="1425"/>
        </w:tabs>
        <w:ind w:left="1425" w:hanging="1425"/>
      </w:pPr>
      <w:rPr>
        <w:rFonts w:hint="default"/>
      </w:rPr>
    </w:lvl>
  </w:abstractNum>
  <w:abstractNum w:abstractNumId="7" w15:restartNumberingAfterBreak="0">
    <w:nsid w:val="5D414C58"/>
    <w:multiLevelType w:val="multilevel"/>
    <w:tmpl w:val="E7C62024"/>
    <w:lvl w:ilvl="0">
      <w:start w:val="6"/>
      <w:numFmt w:val="decimal"/>
      <w:lvlText w:val="%1."/>
      <w:lvlJc w:val="left"/>
      <w:pPr>
        <w:ind w:left="390" w:hanging="390"/>
      </w:pPr>
      <w:rPr>
        <w:rFonts w:hint="default"/>
        <w:b/>
        <w:sz w:val="22"/>
        <w:szCs w:val="22"/>
      </w:rPr>
    </w:lvl>
    <w:lvl w:ilvl="1">
      <w:start w:val="1"/>
      <w:numFmt w:val="decimal"/>
      <w:lvlText w:val="%1.%2."/>
      <w:lvlJc w:val="left"/>
      <w:pPr>
        <w:ind w:left="862" w:hanging="720"/>
      </w:pPr>
      <w:rPr>
        <w:rFonts w:hint="default"/>
        <w:b/>
        <w:color w:val="auto"/>
      </w:rPr>
    </w:lvl>
    <w:lvl w:ilvl="2">
      <w:start w:val="1"/>
      <w:numFmt w:val="decimal"/>
      <w:lvlText w:val="%1.%2.%3."/>
      <w:lvlJc w:val="left"/>
      <w:pPr>
        <w:ind w:left="2138" w:hanging="720"/>
      </w:pPr>
      <w:rPr>
        <w:rFonts w:hint="default"/>
        <w:b/>
        <w:color w:val="auto"/>
        <w:sz w:val="24"/>
        <w:szCs w:val="24"/>
      </w:rPr>
    </w:lvl>
    <w:lvl w:ilvl="3">
      <w:start w:val="1"/>
      <w:numFmt w:val="decimal"/>
      <w:lvlText w:val="%1.%2.%3.%4."/>
      <w:lvlJc w:val="left"/>
      <w:pPr>
        <w:ind w:left="1506" w:hanging="1080"/>
      </w:pPr>
      <w:rPr>
        <w:rFonts w:asciiTheme="majorHAnsi" w:hAnsiTheme="majorHAnsi" w:cstheme="majorHAnsi" w:hint="default"/>
        <w:b/>
        <w:color w:val="auto"/>
        <w:sz w:val="24"/>
        <w:szCs w:val="24"/>
      </w:rPr>
    </w:lvl>
    <w:lvl w:ilvl="4">
      <w:start w:val="1"/>
      <w:numFmt w:val="decimal"/>
      <w:lvlText w:val="%1.%2.%3.%4.%5."/>
      <w:lvlJc w:val="left"/>
      <w:pPr>
        <w:ind w:left="1648" w:hanging="1080"/>
      </w:pPr>
      <w:rPr>
        <w:rFonts w:hint="default"/>
        <w:b/>
        <w:color w:val="auto"/>
      </w:rPr>
    </w:lvl>
    <w:lvl w:ilvl="5">
      <w:start w:val="1"/>
      <w:numFmt w:val="decimal"/>
      <w:lvlText w:val="%1.%2.%3.%4.%5.%6."/>
      <w:lvlJc w:val="left"/>
      <w:pPr>
        <w:ind w:left="2150" w:hanging="144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794" w:hanging="1800"/>
      </w:pPr>
      <w:rPr>
        <w:rFonts w:hint="default"/>
        <w:b/>
      </w:rPr>
    </w:lvl>
    <w:lvl w:ilvl="8">
      <w:start w:val="1"/>
      <w:numFmt w:val="decimal"/>
      <w:lvlText w:val="%1.%2.%3.%4.%5.%6.%7.%8.%9."/>
      <w:lvlJc w:val="left"/>
      <w:pPr>
        <w:ind w:left="3296" w:hanging="2160"/>
      </w:pPr>
      <w:rPr>
        <w:rFonts w:hint="default"/>
        <w:b/>
      </w:rPr>
    </w:lvl>
  </w:abstractNum>
  <w:abstractNum w:abstractNumId="8" w15:restartNumberingAfterBreak="0">
    <w:nsid w:val="77792CA4"/>
    <w:multiLevelType w:val="singleLevel"/>
    <w:tmpl w:val="9A4CCEBE"/>
    <w:lvl w:ilvl="0">
      <w:start w:val="2"/>
      <w:numFmt w:val="decimal"/>
      <w:lvlText w:val="%1."/>
      <w:lvlJc w:val="left"/>
      <w:pPr>
        <w:tabs>
          <w:tab w:val="num" w:pos="1425"/>
        </w:tabs>
        <w:ind w:left="1425" w:hanging="1425"/>
      </w:pPr>
      <w:rPr>
        <w:rFonts w:hint="default"/>
      </w:rPr>
    </w:lvl>
  </w:abstractNum>
  <w:abstractNum w:abstractNumId="9" w15:restartNumberingAfterBreak="0">
    <w:nsid w:val="7A7F352F"/>
    <w:multiLevelType w:val="multilevel"/>
    <w:tmpl w:val="FB56BE48"/>
    <w:lvl w:ilvl="0">
      <w:start w:val="9"/>
      <w:numFmt w:val="decimal"/>
      <w:lvlText w:val="%1."/>
      <w:lvlJc w:val="left"/>
      <w:pPr>
        <w:ind w:left="855" w:hanging="855"/>
      </w:pPr>
      <w:rPr>
        <w:rFonts w:hint="default"/>
      </w:rPr>
    </w:lvl>
    <w:lvl w:ilvl="1">
      <w:start w:val="1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D782D55"/>
    <w:multiLevelType w:val="multilevel"/>
    <w:tmpl w:val="B70AAFE4"/>
    <w:lvl w:ilvl="0">
      <w:start w:val="1"/>
      <w:numFmt w:val="decimal"/>
      <w:lvlText w:val="%1."/>
      <w:lvlJc w:val="left"/>
      <w:pPr>
        <w:ind w:left="390" w:hanging="390"/>
      </w:pPr>
      <w:rPr>
        <w:rFonts w:hint="default"/>
        <w:b/>
      </w:rPr>
    </w:lvl>
    <w:lvl w:ilvl="1">
      <w:start w:val="1"/>
      <w:numFmt w:val="decimal"/>
      <w:pStyle w:val="CRCRJN2"/>
      <w:lvlText w:val="%1.%2."/>
      <w:lvlJc w:val="left"/>
      <w:pPr>
        <w:ind w:left="720" w:hanging="720"/>
      </w:pPr>
      <w:rPr>
        <w:rFonts w:ascii="Arial" w:hAnsi="Arial" w:cs="Arial" w:hint="default"/>
        <w:b/>
        <w:color w:val="auto"/>
        <w:sz w:val="22"/>
        <w:szCs w:val="22"/>
      </w:rPr>
    </w:lvl>
    <w:lvl w:ilvl="2">
      <w:start w:val="1"/>
      <w:numFmt w:val="decimal"/>
      <w:pStyle w:val="CRCRJN3"/>
      <w:lvlText w:val="%1.%2.%3."/>
      <w:lvlJc w:val="left"/>
      <w:pPr>
        <w:ind w:left="720" w:hanging="720"/>
      </w:pPr>
      <w:rPr>
        <w:rFonts w:hint="default"/>
        <w:b/>
      </w:rPr>
    </w:lvl>
    <w:lvl w:ilvl="3">
      <w:start w:val="1"/>
      <w:numFmt w:val="decimal"/>
      <w:lvlText w:val="%1.%2.%3.%4."/>
      <w:lvlJc w:val="left"/>
      <w:pPr>
        <w:ind w:left="1080" w:hanging="1080"/>
      </w:pPr>
      <w:rPr>
        <w:rFonts w:hint="default"/>
        <w:b/>
        <w:sz w:val="24"/>
        <w:szCs w:val="24"/>
      </w:rPr>
    </w:lvl>
    <w:lvl w:ilvl="4">
      <w:start w:val="1"/>
      <w:numFmt w:val="decimal"/>
      <w:lvlText w:val="%1.%2.%3.%4.%5."/>
      <w:lvlJc w:val="left"/>
      <w:pPr>
        <w:ind w:left="1080" w:hanging="1080"/>
      </w:pPr>
      <w:rPr>
        <w:rFonts w:hint="default"/>
        <w:b/>
        <w:sz w:val="24"/>
        <w:szCs w:val="24"/>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1"/>
  </w:num>
  <w:num w:numId="3">
    <w:abstractNumId w:val="2"/>
  </w:num>
  <w:num w:numId="4">
    <w:abstractNumId w:val="6"/>
  </w:num>
  <w:num w:numId="5">
    <w:abstractNumId w:val="8"/>
  </w:num>
  <w:num w:numId="6">
    <w:abstractNumId w:val="0"/>
  </w:num>
  <w:num w:numId="7">
    <w:abstractNumId w:val="10"/>
  </w:num>
  <w:num w:numId="8">
    <w:abstractNumId w:val="7"/>
  </w:num>
  <w:num w:numId="9">
    <w:abstractNumId w:val="3"/>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190"/>
    <w:rsid w:val="00000C96"/>
    <w:rsid w:val="0000444B"/>
    <w:rsid w:val="00004791"/>
    <w:rsid w:val="0000525A"/>
    <w:rsid w:val="000144D4"/>
    <w:rsid w:val="00015D42"/>
    <w:rsid w:val="00017FF5"/>
    <w:rsid w:val="00021899"/>
    <w:rsid w:val="000247CD"/>
    <w:rsid w:val="00035BF8"/>
    <w:rsid w:val="00037AE3"/>
    <w:rsid w:val="00041946"/>
    <w:rsid w:val="00045B1B"/>
    <w:rsid w:val="000575B9"/>
    <w:rsid w:val="000576D9"/>
    <w:rsid w:val="00061619"/>
    <w:rsid w:val="0006496A"/>
    <w:rsid w:val="00066B1E"/>
    <w:rsid w:val="00066B5B"/>
    <w:rsid w:val="00073C49"/>
    <w:rsid w:val="00076486"/>
    <w:rsid w:val="00083B23"/>
    <w:rsid w:val="00085CC2"/>
    <w:rsid w:val="00090FA9"/>
    <w:rsid w:val="00093060"/>
    <w:rsid w:val="000A32B9"/>
    <w:rsid w:val="000B5137"/>
    <w:rsid w:val="000B757E"/>
    <w:rsid w:val="000C01FD"/>
    <w:rsid w:val="000C0A9E"/>
    <w:rsid w:val="000C0D10"/>
    <w:rsid w:val="000C6E1C"/>
    <w:rsid w:val="000C7256"/>
    <w:rsid w:val="000D16B8"/>
    <w:rsid w:val="000D3F7C"/>
    <w:rsid w:val="000D50F9"/>
    <w:rsid w:val="000E147E"/>
    <w:rsid w:val="0010203A"/>
    <w:rsid w:val="0010444E"/>
    <w:rsid w:val="00106D67"/>
    <w:rsid w:val="00107AB3"/>
    <w:rsid w:val="00113971"/>
    <w:rsid w:val="001179D1"/>
    <w:rsid w:val="001208E0"/>
    <w:rsid w:val="00141B98"/>
    <w:rsid w:val="0014381F"/>
    <w:rsid w:val="001453D3"/>
    <w:rsid w:val="00154109"/>
    <w:rsid w:val="00154763"/>
    <w:rsid w:val="001557D2"/>
    <w:rsid w:val="00166BB5"/>
    <w:rsid w:val="00172900"/>
    <w:rsid w:val="00175EDC"/>
    <w:rsid w:val="001863AC"/>
    <w:rsid w:val="0019070E"/>
    <w:rsid w:val="00191FB1"/>
    <w:rsid w:val="001A06C9"/>
    <w:rsid w:val="001A37AB"/>
    <w:rsid w:val="001A6950"/>
    <w:rsid w:val="001B3751"/>
    <w:rsid w:val="001B57DB"/>
    <w:rsid w:val="001B592B"/>
    <w:rsid w:val="001C0AA6"/>
    <w:rsid w:val="001C13FA"/>
    <w:rsid w:val="001C239A"/>
    <w:rsid w:val="001C600A"/>
    <w:rsid w:val="001C6C98"/>
    <w:rsid w:val="001D1ABE"/>
    <w:rsid w:val="001D5821"/>
    <w:rsid w:val="001E528B"/>
    <w:rsid w:val="001E5BEA"/>
    <w:rsid w:val="001F5850"/>
    <w:rsid w:val="001F6ACD"/>
    <w:rsid w:val="002007B6"/>
    <w:rsid w:val="00203C9E"/>
    <w:rsid w:val="00211DA0"/>
    <w:rsid w:val="00216F06"/>
    <w:rsid w:val="00217603"/>
    <w:rsid w:val="00227C77"/>
    <w:rsid w:val="00244FED"/>
    <w:rsid w:val="00245576"/>
    <w:rsid w:val="00245D00"/>
    <w:rsid w:val="002528D8"/>
    <w:rsid w:val="00254AE9"/>
    <w:rsid w:val="00263A41"/>
    <w:rsid w:val="00271019"/>
    <w:rsid w:val="00275C7E"/>
    <w:rsid w:val="002774CA"/>
    <w:rsid w:val="002827B6"/>
    <w:rsid w:val="00286B12"/>
    <w:rsid w:val="00291361"/>
    <w:rsid w:val="00297930"/>
    <w:rsid w:val="002A1A6E"/>
    <w:rsid w:val="002A6799"/>
    <w:rsid w:val="002B06A8"/>
    <w:rsid w:val="002B078E"/>
    <w:rsid w:val="002B437B"/>
    <w:rsid w:val="002B4554"/>
    <w:rsid w:val="002B737B"/>
    <w:rsid w:val="002C4394"/>
    <w:rsid w:val="002C5705"/>
    <w:rsid w:val="002C58B2"/>
    <w:rsid w:val="002C7233"/>
    <w:rsid w:val="002E2043"/>
    <w:rsid w:val="002E5893"/>
    <w:rsid w:val="002F11D1"/>
    <w:rsid w:val="002F1610"/>
    <w:rsid w:val="002F579F"/>
    <w:rsid w:val="002F7D79"/>
    <w:rsid w:val="00303B7D"/>
    <w:rsid w:val="00305F21"/>
    <w:rsid w:val="00307218"/>
    <w:rsid w:val="00314EDB"/>
    <w:rsid w:val="00324878"/>
    <w:rsid w:val="00327512"/>
    <w:rsid w:val="00352929"/>
    <w:rsid w:val="00354146"/>
    <w:rsid w:val="00354B87"/>
    <w:rsid w:val="0036169B"/>
    <w:rsid w:val="00365CA3"/>
    <w:rsid w:val="0036766C"/>
    <w:rsid w:val="00386377"/>
    <w:rsid w:val="00387D7B"/>
    <w:rsid w:val="00395742"/>
    <w:rsid w:val="003971F2"/>
    <w:rsid w:val="003A4C75"/>
    <w:rsid w:val="003A64A0"/>
    <w:rsid w:val="003A7029"/>
    <w:rsid w:val="003B1202"/>
    <w:rsid w:val="003B2BAD"/>
    <w:rsid w:val="003B497F"/>
    <w:rsid w:val="003B6521"/>
    <w:rsid w:val="003C1809"/>
    <w:rsid w:val="003C487B"/>
    <w:rsid w:val="003D1F6F"/>
    <w:rsid w:val="003D40CD"/>
    <w:rsid w:val="003D4795"/>
    <w:rsid w:val="003D752C"/>
    <w:rsid w:val="003E12AC"/>
    <w:rsid w:val="003E6310"/>
    <w:rsid w:val="003F2A98"/>
    <w:rsid w:val="00400C63"/>
    <w:rsid w:val="00410E0D"/>
    <w:rsid w:val="00414CD4"/>
    <w:rsid w:val="00420404"/>
    <w:rsid w:val="004214B8"/>
    <w:rsid w:val="00424B3B"/>
    <w:rsid w:val="00426425"/>
    <w:rsid w:val="00430F89"/>
    <w:rsid w:val="0043284E"/>
    <w:rsid w:val="004356FD"/>
    <w:rsid w:val="00445FEA"/>
    <w:rsid w:val="004465F2"/>
    <w:rsid w:val="00446AC7"/>
    <w:rsid w:val="00456DD0"/>
    <w:rsid w:val="00464B50"/>
    <w:rsid w:val="00472E48"/>
    <w:rsid w:val="00472F42"/>
    <w:rsid w:val="00473C11"/>
    <w:rsid w:val="00477F02"/>
    <w:rsid w:val="00482E4A"/>
    <w:rsid w:val="0049439C"/>
    <w:rsid w:val="004A0998"/>
    <w:rsid w:val="004A6570"/>
    <w:rsid w:val="004A6C1D"/>
    <w:rsid w:val="004C249B"/>
    <w:rsid w:val="004C3DFB"/>
    <w:rsid w:val="004C4638"/>
    <w:rsid w:val="004D10F0"/>
    <w:rsid w:val="004D31C1"/>
    <w:rsid w:val="004D55E2"/>
    <w:rsid w:val="004D652A"/>
    <w:rsid w:val="004E507E"/>
    <w:rsid w:val="004E7E3C"/>
    <w:rsid w:val="004F022C"/>
    <w:rsid w:val="004F6C91"/>
    <w:rsid w:val="004F7A49"/>
    <w:rsid w:val="00503E58"/>
    <w:rsid w:val="005054A9"/>
    <w:rsid w:val="00514404"/>
    <w:rsid w:val="00514BDC"/>
    <w:rsid w:val="00516DD0"/>
    <w:rsid w:val="0052430E"/>
    <w:rsid w:val="005439DD"/>
    <w:rsid w:val="00543C1C"/>
    <w:rsid w:val="00545E28"/>
    <w:rsid w:val="0055035B"/>
    <w:rsid w:val="00552200"/>
    <w:rsid w:val="00553DBF"/>
    <w:rsid w:val="005569B1"/>
    <w:rsid w:val="00566380"/>
    <w:rsid w:val="00573B7A"/>
    <w:rsid w:val="0057572A"/>
    <w:rsid w:val="005811CB"/>
    <w:rsid w:val="00583954"/>
    <w:rsid w:val="00586340"/>
    <w:rsid w:val="00587B16"/>
    <w:rsid w:val="00591FC7"/>
    <w:rsid w:val="005A0077"/>
    <w:rsid w:val="005A0BD7"/>
    <w:rsid w:val="005A1B86"/>
    <w:rsid w:val="005A34BB"/>
    <w:rsid w:val="005A47DB"/>
    <w:rsid w:val="005B1F8D"/>
    <w:rsid w:val="005B2C5D"/>
    <w:rsid w:val="005B416A"/>
    <w:rsid w:val="005C33CC"/>
    <w:rsid w:val="005C5D4E"/>
    <w:rsid w:val="005D6A44"/>
    <w:rsid w:val="005E76B8"/>
    <w:rsid w:val="005F2F27"/>
    <w:rsid w:val="005F6925"/>
    <w:rsid w:val="005F69C1"/>
    <w:rsid w:val="00600371"/>
    <w:rsid w:val="00606F34"/>
    <w:rsid w:val="006154BA"/>
    <w:rsid w:val="00615DD7"/>
    <w:rsid w:val="006269B5"/>
    <w:rsid w:val="00627036"/>
    <w:rsid w:val="00630F03"/>
    <w:rsid w:val="00642555"/>
    <w:rsid w:val="0064258A"/>
    <w:rsid w:val="00646156"/>
    <w:rsid w:val="00647F20"/>
    <w:rsid w:val="0065794B"/>
    <w:rsid w:val="00657BA6"/>
    <w:rsid w:val="00666D03"/>
    <w:rsid w:val="006741BC"/>
    <w:rsid w:val="00674B5F"/>
    <w:rsid w:val="0067627A"/>
    <w:rsid w:val="0068182C"/>
    <w:rsid w:val="00681A8D"/>
    <w:rsid w:val="00690276"/>
    <w:rsid w:val="00690923"/>
    <w:rsid w:val="00691956"/>
    <w:rsid w:val="00692564"/>
    <w:rsid w:val="00692CF6"/>
    <w:rsid w:val="006949EC"/>
    <w:rsid w:val="0069697D"/>
    <w:rsid w:val="006979ED"/>
    <w:rsid w:val="00697D12"/>
    <w:rsid w:val="006A3807"/>
    <w:rsid w:val="006B1C72"/>
    <w:rsid w:val="006B45AF"/>
    <w:rsid w:val="006B737E"/>
    <w:rsid w:val="006C706D"/>
    <w:rsid w:val="006D16EC"/>
    <w:rsid w:val="006E4981"/>
    <w:rsid w:val="006F6BF4"/>
    <w:rsid w:val="00703D65"/>
    <w:rsid w:val="00720FEF"/>
    <w:rsid w:val="00725064"/>
    <w:rsid w:val="00727384"/>
    <w:rsid w:val="0073067C"/>
    <w:rsid w:val="007318AD"/>
    <w:rsid w:val="0073260D"/>
    <w:rsid w:val="007326B5"/>
    <w:rsid w:val="007332C3"/>
    <w:rsid w:val="00733306"/>
    <w:rsid w:val="00733382"/>
    <w:rsid w:val="00740194"/>
    <w:rsid w:val="00740D9C"/>
    <w:rsid w:val="00741222"/>
    <w:rsid w:val="00741DFA"/>
    <w:rsid w:val="0074475C"/>
    <w:rsid w:val="0074778C"/>
    <w:rsid w:val="00757306"/>
    <w:rsid w:val="00765F01"/>
    <w:rsid w:val="00766E01"/>
    <w:rsid w:val="007731D4"/>
    <w:rsid w:val="00773A20"/>
    <w:rsid w:val="00776F7D"/>
    <w:rsid w:val="00784AC2"/>
    <w:rsid w:val="007A65F0"/>
    <w:rsid w:val="007B0416"/>
    <w:rsid w:val="007B2886"/>
    <w:rsid w:val="007B3009"/>
    <w:rsid w:val="007B3FDD"/>
    <w:rsid w:val="007B5BAE"/>
    <w:rsid w:val="007C075F"/>
    <w:rsid w:val="007D0439"/>
    <w:rsid w:val="007D7C4A"/>
    <w:rsid w:val="007E00D9"/>
    <w:rsid w:val="007E377F"/>
    <w:rsid w:val="007F1105"/>
    <w:rsid w:val="007F19D1"/>
    <w:rsid w:val="00800384"/>
    <w:rsid w:val="00802F34"/>
    <w:rsid w:val="00807407"/>
    <w:rsid w:val="0082547F"/>
    <w:rsid w:val="008263EA"/>
    <w:rsid w:val="00836ED0"/>
    <w:rsid w:val="0084075A"/>
    <w:rsid w:val="00843DA4"/>
    <w:rsid w:val="00844890"/>
    <w:rsid w:val="00853CBD"/>
    <w:rsid w:val="00854A32"/>
    <w:rsid w:val="00865AC0"/>
    <w:rsid w:val="00872F25"/>
    <w:rsid w:val="008734DD"/>
    <w:rsid w:val="008A1F25"/>
    <w:rsid w:val="008B39AE"/>
    <w:rsid w:val="008B5741"/>
    <w:rsid w:val="008C60B3"/>
    <w:rsid w:val="008C710F"/>
    <w:rsid w:val="008D6375"/>
    <w:rsid w:val="008D6D94"/>
    <w:rsid w:val="008E1F6D"/>
    <w:rsid w:val="008F6D9B"/>
    <w:rsid w:val="00911FCC"/>
    <w:rsid w:val="009130C9"/>
    <w:rsid w:val="00921DC1"/>
    <w:rsid w:val="00922BD3"/>
    <w:rsid w:val="00926B67"/>
    <w:rsid w:val="009302B8"/>
    <w:rsid w:val="00933759"/>
    <w:rsid w:val="009357E4"/>
    <w:rsid w:val="00947A71"/>
    <w:rsid w:val="009503F9"/>
    <w:rsid w:val="009533EF"/>
    <w:rsid w:val="00955B3F"/>
    <w:rsid w:val="00962004"/>
    <w:rsid w:val="00963E2E"/>
    <w:rsid w:val="00964F70"/>
    <w:rsid w:val="00971280"/>
    <w:rsid w:val="00981909"/>
    <w:rsid w:val="009946C7"/>
    <w:rsid w:val="00994E67"/>
    <w:rsid w:val="009A19D1"/>
    <w:rsid w:val="009B2F6D"/>
    <w:rsid w:val="009C621F"/>
    <w:rsid w:val="009D0431"/>
    <w:rsid w:val="009D1A96"/>
    <w:rsid w:val="009E0FCF"/>
    <w:rsid w:val="009E1339"/>
    <w:rsid w:val="009E251B"/>
    <w:rsid w:val="009F73ED"/>
    <w:rsid w:val="009F784B"/>
    <w:rsid w:val="00A032AA"/>
    <w:rsid w:val="00A112EE"/>
    <w:rsid w:val="00A17768"/>
    <w:rsid w:val="00A20A97"/>
    <w:rsid w:val="00A3762E"/>
    <w:rsid w:val="00A40588"/>
    <w:rsid w:val="00A4152D"/>
    <w:rsid w:val="00A42363"/>
    <w:rsid w:val="00A44648"/>
    <w:rsid w:val="00A46501"/>
    <w:rsid w:val="00A55DF2"/>
    <w:rsid w:val="00A56566"/>
    <w:rsid w:val="00A647A7"/>
    <w:rsid w:val="00A6511D"/>
    <w:rsid w:val="00A6608C"/>
    <w:rsid w:val="00A70910"/>
    <w:rsid w:val="00A73530"/>
    <w:rsid w:val="00A74B79"/>
    <w:rsid w:val="00A74F78"/>
    <w:rsid w:val="00A75046"/>
    <w:rsid w:val="00A82D91"/>
    <w:rsid w:val="00A838F6"/>
    <w:rsid w:val="00A871A2"/>
    <w:rsid w:val="00A957F7"/>
    <w:rsid w:val="00A96EE0"/>
    <w:rsid w:val="00AA2CAE"/>
    <w:rsid w:val="00AB0591"/>
    <w:rsid w:val="00AB4E97"/>
    <w:rsid w:val="00AB6EF2"/>
    <w:rsid w:val="00AC0EDE"/>
    <w:rsid w:val="00AC41F7"/>
    <w:rsid w:val="00AE1895"/>
    <w:rsid w:val="00AE3B9E"/>
    <w:rsid w:val="00AF04A1"/>
    <w:rsid w:val="00B112CC"/>
    <w:rsid w:val="00B2081C"/>
    <w:rsid w:val="00B22F45"/>
    <w:rsid w:val="00B25A1E"/>
    <w:rsid w:val="00B26D11"/>
    <w:rsid w:val="00B31633"/>
    <w:rsid w:val="00B33572"/>
    <w:rsid w:val="00B33AEC"/>
    <w:rsid w:val="00B3584A"/>
    <w:rsid w:val="00B429DA"/>
    <w:rsid w:val="00B602CA"/>
    <w:rsid w:val="00B61DF3"/>
    <w:rsid w:val="00B62F9F"/>
    <w:rsid w:val="00B66B23"/>
    <w:rsid w:val="00B67FFC"/>
    <w:rsid w:val="00B71165"/>
    <w:rsid w:val="00B72A63"/>
    <w:rsid w:val="00B7311F"/>
    <w:rsid w:val="00B73680"/>
    <w:rsid w:val="00B73ADA"/>
    <w:rsid w:val="00B742E8"/>
    <w:rsid w:val="00B755A5"/>
    <w:rsid w:val="00B802F8"/>
    <w:rsid w:val="00B82300"/>
    <w:rsid w:val="00B82DAB"/>
    <w:rsid w:val="00B85D53"/>
    <w:rsid w:val="00BA2E78"/>
    <w:rsid w:val="00BA4F4B"/>
    <w:rsid w:val="00BA794C"/>
    <w:rsid w:val="00BB7230"/>
    <w:rsid w:val="00BC171A"/>
    <w:rsid w:val="00BC29B0"/>
    <w:rsid w:val="00BC7EE7"/>
    <w:rsid w:val="00BD23C6"/>
    <w:rsid w:val="00BD3FE5"/>
    <w:rsid w:val="00BD6D3C"/>
    <w:rsid w:val="00BE2138"/>
    <w:rsid w:val="00BE5DD1"/>
    <w:rsid w:val="00BF0E6C"/>
    <w:rsid w:val="00BF184E"/>
    <w:rsid w:val="00C06B8A"/>
    <w:rsid w:val="00C10E1C"/>
    <w:rsid w:val="00C13C80"/>
    <w:rsid w:val="00C1582E"/>
    <w:rsid w:val="00C224CA"/>
    <w:rsid w:val="00C256BC"/>
    <w:rsid w:val="00C272AA"/>
    <w:rsid w:val="00C31819"/>
    <w:rsid w:val="00C4353E"/>
    <w:rsid w:val="00C43E87"/>
    <w:rsid w:val="00C46095"/>
    <w:rsid w:val="00C47AD6"/>
    <w:rsid w:val="00C5328D"/>
    <w:rsid w:val="00C53C9E"/>
    <w:rsid w:val="00C544A7"/>
    <w:rsid w:val="00C60132"/>
    <w:rsid w:val="00C6282C"/>
    <w:rsid w:val="00C64CBE"/>
    <w:rsid w:val="00C671BA"/>
    <w:rsid w:val="00C762DF"/>
    <w:rsid w:val="00C77FE7"/>
    <w:rsid w:val="00C9135D"/>
    <w:rsid w:val="00C92E02"/>
    <w:rsid w:val="00CA319F"/>
    <w:rsid w:val="00CA3821"/>
    <w:rsid w:val="00CA7EFF"/>
    <w:rsid w:val="00CB7C27"/>
    <w:rsid w:val="00CC2A42"/>
    <w:rsid w:val="00CD282C"/>
    <w:rsid w:val="00CD4D72"/>
    <w:rsid w:val="00CD655C"/>
    <w:rsid w:val="00CE074F"/>
    <w:rsid w:val="00CE24C4"/>
    <w:rsid w:val="00CE35D2"/>
    <w:rsid w:val="00CE472A"/>
    <w:rsid w:val="00CE653B"/>
    <w:rsid w:val="00CE7151"/>
    <w:rsid w:val="00CF0F63"/>
    <w:rsid w:val="00CF1146"/>
    <w:rsid w:val="00CF1458"/>
    <w:rsid w:val="00CF3988"/>
    <w:rsid w:val="00D00BE4"/>
    <w:rsid w:val="00D044AA"/>
    <w:rsid w:val="00D058F7"/>
    <w:rsid w:val="00D05DBB"/>
    <w:rsid w:val="00D06B7A"/>
    <w:rsid w:val="00D07DD9"/>
    <w:rsid w:val="00D07F42"/>
    <w:rsid w:val="00D1163B"/>
    <w:rsid w:val="00D11BEC"/>
    <w:rsid w:val="00D4269B"/>
    <w:rsid w:val="00D449B6"/>
    <w:rsid w:val="00D564B5"/>
    <w:rsid w:val="00D6308E"/>
    <w:rsid w:val="00D71985"/>
    <w:rsid w:val="00D81C82"/>
    <w:rsid w:val="00D85E00"/>
    <w:rsid w:val="00D86541"/>
    <w:rsid w:val="00D86A37"/>
    <w:rsid w:val="00D87A40"/>
    <w:rsid w:val="00D921D4"/>
    <w:rsid w:val="00D925F0"/>
    <w:rsid w:val="00D92E6E"/>
    <w:rsid w:val="00D9562A"/>
    <w:rsid w:val="00D95713"/>
    <w:rsid w:val="00D9778E"/>
    <w:rsid w:val="00DA23DA"/>
    <w:rsid w:val="00DA31B1"/>
    <w:rsid w:val="00DA6AB2"/>
    <w:rsid w:val="00DB5F72"/>
    <w:rsid w:val="00DB6067"/>
    <w:rsid w:val="00DB79E9"/>
    <w:rsid w:val="00DC0139"/>
    <w:rsid w:val="00DD1D18"/>
    <w:rsid w:val="00DD5190"/>
    <w:rsid w:val="00DD6575"/>
    <w:rsid w:val="00DE2F66"/>
    <w:rsid w:val="00DE5E2F"/>
    <w:rsid w:val="00DF1EAE"/>
    <w:rsid w:val="00DF7D94"/>
    <w:rsid w:val="00E00A76"/>
    <w:rsid w:val="00E01380"/>
    <w:rsid w:val="00E0162E"/>
    <w:rsid w:val="00E046B1"/>
    <w:rsid w:val="00E21A26"/>
    <w:rsid w:val="00E24827"/>
    <w:rsid w:val="00E31755"/>
    <w:rsid w:val="00E32A01"/>
    <w:rsid w:val="00E32CEF"/>
    <w:rsid w:val="00E3377E"/>
    <w:rsid w:val="00E35A42"/>
    <w:rsid w:val="00E4625F"/>
    <w:rsid w:val="00E47209"/>
    <w:rsid w:val="00E52268"/>
    <w:rsid w:val="00E576C8"/>
    <w:rsid w:val="00E624EB"/>
    <w:rsid w:val="00E84E0A"/>
    <w:rsid w:val="00E867EF"/>
    <w:rsid w:val="00E97077"/>
    <w:rsid w:val="00EB4025"/>
    <w:rsid w:val="00EB67C3"/>
    <w:rsid w:val="00EB6FA1"/>
    <w:rsid w:val="00EB78F7"/>
    <w:rsid w:val="00ED201B"/>
    <w:rsid w:val="00ED633B"/>
    <w:rsid w:val="00EE51FD"/>
    <w:rsid w:val="00EE6A31"/>
    <w:rsid w:val="00EF4986"/>
    <w:rsid w:val="00EF51A1"/>
    <w:rsid w:val="00EF792C"/>
    <w:rsid w:val="00EF7C60"/>
    <w:rsid w:val="00F00662"/>
    <w:rsid w:val="00F0415A"/>
    <w:rsid w:val="00F12353"/>
    <w:rsid w:val="00F13D0D"/>
    <w:rsid w:val="00F24CE9"/>
    <w:rsid w:val="00F310D0"/>
    <w:rsid w:val="00F342A0"/>
    <w:rsid w:val="00F41780"/>
    <w:rsid w:val="00F4258C"/>
    <w:rsid w:val="00F445D1"/>
    <w:rsid w:val="00F57E4E"/>
    <w:rsid w:val="00F57F45"/>
    <w:rsid w:val="00F624BA"/>
    <w:rsid w:val="00F64449"/>
    <w:rsid w:val="00F67B49"/>
    <w:rsid w:val="00F76EA2"/>
    <w:rsid w:val="00F77B80"/>
    <w:rsid w:val="00F82161"/>
    <w:rsid w:val="00F83D65"/>
    <w:rsid w:val="00F91487"/>
    <w:rsid w:val="00F94B08"/>
    <w:rsid w:val="00FA3342"/>
    <w:rsid w:val="00FB17B3"/>
    <w:rsid w:val="00FB5539"/>
    <w:rsid w:val="00FC0A3B"/>
    <w:rsid w:val="00FC44BD"/>
    <w:rsid w:val="00FD14D6"/>
    <w:rsid w:val="00FE6000"/>
    <w:rsid w:val="00FF12F4"/>
    <w:rsid w:val="00FF5A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C3B6ED"/>
  <w14:defaultImageDpi w14:val="330"/>
  <w15:docId w15:val="{C845BBB4-A4F4-45F0-9A59-8FACD639F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F02"/>
    <w:pPr>
      <w:spacing w:after="120"/>
      <w:jc w:val="both"/>
    </w:pPr>
    <w:rPr>
      <w:rFonts w:ascii="Calibri" w:hAnsi="Calibri"/>
      <w:sz w:val="24"/>
      <w:lang w:val="pt-BR" w:eastAsia="pt-BR"/>
    </w:rPr>
  </w:style>
  <w:style w:type="paragraph" w:styleId="Ttulo1">
    <w:name w:val="heading 1"/>
    <w:basedOn w:val="Normal"/>
    <w:next w:val="Normal"/>
    <w:qFormat/>
    <w:pPr>
      <w:keepNext/>
      <w:jc w:val="center"/>
      <w:outlineLvl w:val="0"/>
    </w:pPr>
    <w:rPr>
      <w:i/>
    </w:rPr>
  </w:style>
  <w:style w:type="paragraph" w:styleId="Ttulo2">
    <w:name w:val="heading 2"/>
    <w:basedOn w:val="Normal"/>
    <w:next w:val="Normal"/>
    <w:qFormat/>
    <w:pPr>
      <w:keepNext/>
      <w:outlineLvl w:val="1"/>
    </w:pPr>
    <w:rPr>
      <w:b/>
      <w:i/>
      <w:sz w:val="28"/>
    </w:rPr>
  </w:style>
  <w:style w:type="paragraph" w:styleId="Ttulo3">
    <w:name w:val="heading 3"/>
    <w:basedOn w:val="Normal"/>
    <w:next w:val="Normal"/>
    <w:qFormat/>
    <w:pPr>
      <w:keepNext/>
      <w:jc w:val="center"/>
      <w:outlineLvl w:val="2"/>
    </w:pPr>
    <w:rPr>
      <w:b/>
      <w:i/>
      <w:sz w:val="26"/>
    </w:rPr>
  </w:style>
  <w:style w:type="paragraph" w:styleId="Ttulo4">
    <w:name w:val="heading 4"/>
    <w:basedOn w:val="Normal"/>
    <w:next w:val="Normal"/>
    <w:qFormat/>
    <w:pPr>
      <w:keepNext/>
      <w:outlineLvl w:val="3"/>
    </w:pPr>
    <w:rPr>
      <w:b/>
      <w:i/>
      <w:sz w:val="28"/>
      <w:u w:val="single"/>
    </w:rPr>
  </w:style>
  <w:style w:type="paragraph" w:styleId="Ttulo5">
    <w:name w:val="heading 5"/>
    <w:basedOn w:val="Normal"/>
    <w:next w:val="Normal"/>
    <w:qFormat/>
    <w:pPr>
      <w:keepNext/>
      <w:outlineLvl w:val="4"/>
    </w:pPr>
    <w:rPr>
      <w:i/>
      <w:sz w:val="16"/>
      <w:u w:val="single"/>
    </w:rPr>
  </w:style>
  <w:style w:type="paragraph" w:styleId="Ttulo6">
    <w:name w:val="heading 6"/>
    <w:basedOn w:val="Normal"/>
    <w:next w:val="Normal"/>
    <w:qFormat/>
    <w:pPr>
      <w:keepNext/>
      <w:outlineLvl w:val="5"/>
    </w:pPr>
    <w:rPr>
      <w:i/>
      <w:sz w:val="28"/>
      <w:u w:val="single"/>
    </w:rPr>
  </w:style>
  <w:style w:type="paragraph" w:styleId="Ttulo7">
    <w:name w:val="heading 7"/>
    <w:basedOn w:val="Normal"/>
    <w:next w:val="Normal"/>
    <w:qFormat/>
    <w:pPr>
      <w:keepNext/>
      <w:jc w:val="center"/>
      <w:outlineLvl w:val="6"/>
    </w:pPr>
    <w:rPr>
      <w:rFonts w:ascii="Arial" w:hAnsi="Arial"/>
    </w:rPr>
  </w:style>
  <w:style w:type="paragraph" w:styleId="Ttulo8">
    <w:name w:val="heading 8"/>
    <w:basedOn w:val="Normal"/>
    <w:next w:val="Normal"/>
    <w:qFormat/>
    <w:pPr>
      <w:keepNext/>
      <w:outlineLvl w:val="7"/>
    </w:pPr>
    <w:rPr>
      <w:rFonts w:ascii="Arial" w:hAnsi="Arial"/>
      <w:b/>
      <w:sz w:val="28"/>
    </w:rPr>
  </w:style>
  <w:style w:type="paragraph" w:styleId="Ttulo9">
    <w:name w:val="heading 9"/>
    <w:basedOn w:val="Normal"/>
    <w:next w:val="Normal"/>
    <w:qFormat/>
    <w:pPr>
      <w:keepNext/>
      <w:jc w:val="right"/>
      <w:outlineLvl w:val="8"/>
    </w:pPr>
    <w:rPr>
      <w:rFonts w:ascii="Arial" w:hAnsi="Arial"/>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semiHidden/>
    <w:pPr>
      <w:ind w:firstLine="1418"/>
    </w:pPr>
    <w:rPr>
      <w:i/>
      <w:sz w:val="28"/>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styleId="Recuodecorpodetexto2">
    <w:name w:val="Body Text Indent 2"/>
    <w:basedOn w:val="Normal"/>
    <w:link w:val="Recuodecorpodetexto2Char"/>
    <w:semiHidden/>
    <w:pPr>
      <w:ind w:firstLine="1701"/>
    </w:pPr>
    <w:rPr>
      <w:sz w:val="28"/>
    </w:rPr>
  </w:style>
  <w:style w:type="paragraph" w:styleId="Recuodecorpodetexto3">
    <w:name w:val="Body Text Indent 3"/>
    <w:basedOn w:val="Normal"/>
    <w:semiHidden/>
    <w:pPr>
      <w:ind w:firstLine="1418"/>
    </w:pPr>
    <w:rPr>
      <w:sz w:val="28"/>
    </w:rPr>
  </w:style>
  <w:style w:type="paragraph" w:styleId="Corpodetexto">
    <w:name w:val="Body Text"/>
    <w:basedOn w:val="Normal"/>
    <w:semiHidden/>
    <w:pPr>
      <w:tabs>
        <w:tab w:val="left" w:pos="1418"/>
      </w:tabs>
    </w:pPr>
    <w:rPr>
      <w:rFonts w:ascii="Arial" w:hAnsi="Arial"/>
      <w:sz w:val="28"/>
    </w:rPr>
  </w:style>
  <w:style w:type="paragraph" w:styleId="Corpodetexto2">
    <w:name w:val="Body Text 2"/>
    <w:basedOn w:val="Normal"/>
    <w:semiHidden/>
    <w:pPr>
      <w:tabs>
        <w:tab w:val="left" w:pos="1418"/>
      </w:tabs>
      <w:ind w:right="-1"/>
    </w:pPr>
    <w:rPr>
      <w:rFonts w:ascii="Arial" w:hAnsi="Arial"/>
      <w:sz w:val="26"/>
    </w:rPr>
  </w:style>
  <w:style w:type="character" w:styleId="Nmerodepgina">
    <w:name w:val="page number"/>
    <w:basedOn w:val="Fontepargpadro"/>
    <w:semiHidden/>
  </w:style>
  <w:style w:type="paragraph" w:styleId="Corpodetexto3">
    <w:name w:val="Body Text 3"/>
    <w:basedOn w:val="Normal"/>
    <w:semiHidden/>
    <w:pPr>
      <w:tabs>
        <w:tab w:val="left" w:pos="1701"/>
      </w:tabs>
    </w:pPr>
    <w:rPr>
      <w:rFonts w:ascii="Arial" w:hAnsi="Arial" w:cs="Arial"/>
    </w:rPr>
  </w:style>
  <w:style w:type="paragraph" w:styleId="NormalWeb">
    <w:name w:val="Normal (Web)"/>
    <w:basedOn w:val="Normal"/>
    <w:uiPriority w:val="99"/>
    <w:semiHidden/>
    <w:unhideWhenUsed/>
    <w:rsid w:val="000D16B8"/>
    <w:pPr>
      <w:spacing w:before="100" w:beforeAutospacing="1" w:after="100" w:afterAutospacing="1"/>
    </w:pPr>
    <w:rPr>
      <w:rFonts w:eastAsia="Calibri"/>
      <w:szCs w:val="24"/>
    </w:rPr>
  </w:style>
  <w:style w:type="table" w:styleId="Tabelacomgrade">
    <w:name w:val="Table Grid"/>
    <w:basedOn w:val="Tabelanormal"/>
    <w:uiPriority w:val="59"/>
    <w:rsid w:val="00AE3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bealhoChar">
    <w:name w:val="Cabeçalho Char"/>
    <w:basedOn w:val="Fontepargpadro"/>
    <w:link w:val="Cabealho"/>
    <w:uiPriority w:val="99"/>
    <w:rsid w:val="00386377"/>
  </w:style>
  <w:style w:type="character" w:customStyle="1" w:styleId="RodapChar">
    <w:name w:val="Rodapé Char"/>
    <w:basedOn w:val="Fontepargpadro"/>
    <w:link w:val="Rodap"/>
    <w:uiPriority w:val="99"/>
    <w:rsid w:val="00865AC0"/>
  </w:style>
  <w:style w:type="character" w:customStyle="1" w:styleId="apple-converted-space">
    <w:name w:val="apple-converted-space"/>
    <w:basedOn w:val="Fontepargpadro"/>
    <w:rsid w:val="00F82161"/>
  </w:style>
  <w:style w:type="character" w:customStyle="1" w:styleId="highlight">
    <w:name w:val="highlight"/>
    <w:basedOn w:val="Fontepargpadro"/>
    <w:rsid w:val="00F82161"/>
  </w:style>
  <w:style w:type="paragraph" w:styleId="Textodebalo">
    <w:name w:val="Balloon Text"/>
    <w:basedOn w:val="Normal"/>
    <w:link w:val="TextodebaloChar"/>
    <w:uiPriority w:val="99"/>
    <w:semiHidden/>
    <w:unhideWhenUsed/>
    <w:rsid w:val="005A34BB"/>
    <w:rPr>
      <w:rFonts w:ascii="Tahoma" w:hAnsi="Tahoma" w:cs="Tahoma"/>
      <w:sz w:val="16"/>
      <w:szCs w:val="16"/>
    </w:rPr>
  </w:style>
  <w:style w:type="character" w:customStyle="1" w:styleId="TextodebaloChar">
    <w:name w:val="Texto de balão Char"/>
    <w:basedOn w:val="Fontepargpadro"/>
    <w:link w:val="Textodebalo"/>
    <w:uiPriority w:val="99"/>
    <w:semiHidden/>
    <w:rsid w:val="005A34BB"/>
    <w:rPr>
      <w:rFonts w:ascii="Tahoma" w:hAnsi="Tahoma" w:cs="Tahoma"/>
      <w:sz w:val="16"/>
      <w:szCs w:val="16"/>
    </w:rPr>
  </w:style>
  <w:style w:type="character" w:styleId="Refdecomentrio">
    <w:name w:val="annotation reference"/>
    <w:basedOn w:val="Fontepargpadro"/>
    <w:uiPriority w:val="99"/>
    <w:semiHidden/>
    <w:unhideWhenUsed/>
    <w:rsid w:val="005A34BB"/>
    <w:rPr>
      <w:sz w:val="16"/>
      <w:szCs w:val="16"/>
    </w:rPr>
  </w:style>
  <w:style w:type="paragraph" w:styleId="Textodecomentrio">
    <w:name w:val="annotation text"/>
    <w:basedOn w:val="Normal"/>
    <w:link w:val="TextodecomentrioChar"/>
    <w:uiPriority w:val="99"/>
    <w:semiHidden/>
    <w:unhideWhenUsed/>
    <w:rsid w:val="005A34BB"/>
  </w:style>
  <w:style w:type="character" w:customStyle="1" w:styleId="TextodecomentrioChar">
    <w:name w:val="Texto de comentário Char"/>
    <w:basedOn w:val="Fontepargpadro"/>
    <w:link w:val="Textodecomentrio"/>
    <w:uiPriority w:val="99"/>
    <w:semiHidden/>
    <w:rsid w:val="005A34BB"/>
  </w:style>
  <w:style w:type="paragraph" w:styleId="Assuntodocomentrio">
    <w:name w:val="annotation subject"/>
    <w:basedOn w:val="Textodecomentrio"/>
    <w:next w:val="Textodecomentrio"/>
    <w:link w:val="AssuntodocomentrioChar"/>
    <w:uiPriority w:val="99"/>
    <w:semiHidden/>
    <w:unhideWhenUsed/>
    <w:rsid w:val="005A34BB"/>
    <w:rPr>
      <w:b/>
      <w:bCs/>
    </w:rPr>
  </w:style>
  <w:style w:type="character" w:customStyle="1" w:styleId="AssuntodocomentrioChar">
    <w:name w:val="Assunto do comentário Char"/>
    <w:basedOn w:val="TextodecomentrioChar"/>
    <w:link w:val="Assuntodocomentrio"/>
    <w:uiPriority w:val="99"/>
    <w:semiHidden/>
    <w:rsid w:val="005A34BB"/>
    <w:rPr>
      <w:b/>
      <w:bCs/>
    </w:rPr>
  </w:style>
  <w:style w:type="character" w:customStyle="1" w:styleId="Recuodecorpodetexto2Char">
    <w:name w:val="Recuo de corpo de texto 2 Char"/>
    <w:basedOn w:val="Fontepargpadro"/>
    <w:link w:val="Recuodecorpodetexto2"/>
    <w:semiHidden/>
    <w:rsid w:val="00964F70"/>
    <w:rPr>
      <w:sz w:val="28"/>
    </w:rPr>
  </w:style>
  <w:style w:type="character" w:styleId="Forte">
    <w:name w:val="Strong"/>
    <w:basedOn w:val="Fontepargpadro"/>
    <w:uiPriority w:val="22"/>
    <w:qFormat/>
    <w:rsid w:val="007A65F0"/>
    <w:rPr>
      <w:b/>
      <w:bCs/>
    </w:rPr>
  </w:style>
  <w:style w:type="character" w:styleId="Hyperlink">
    <w:name w:val="Hyperlink"/>
    <w:basedOn w:val="Fontepargpadro"/>
    <w:uiPriority w:val="99"/>
    <w:unhideWhenUsed/>
    <w:rsid w:val="007A65F0"/>
    <w:rPr>
      <w:color w:val="0000FF"/>
      <w:u w:val="single"/>
    </w:rPr>
  </w:style>
  <w:style w:type="paragraph" w:styleId="Reviso">
    <w:name w:val="Revision"/>
    <w:hidden/>
    <w:uiPriority w:val="71"/>
    <w:semiHidden/>
    <w:rsid w:val="00725064"/>
    <w:rPr>
      <w:rFonts w:ascii="Calibri" w:hAnsi="Calibri"/>
      <w:sz w:val="24"/>
      <w:lang w:val="pt-BR" w:eastAsia="pt-BR"/>
    </w:rPr>
  </w:style>
  <w:style w:type="paragraph" w:styleId="PargrafodaLista">
    <w:name w:val="List Paragraph"/>
    <w:aliases w:val="Lista Paragrafo em Preto,Texto,Corpo Texto"/>
    <w:basedOn w:val="Normal"/>
    <w:link w:val="PargrafodaListaChar"/>
    <w:uiPriority w:val="1"/>
    <w:qFormat/>
    <w:rsid w:val="003C1809"/>
    <w:pPr>
      <w:suppressAutoHyphens/>
      <w:spacing w:after="0"/>
      <w:ind w:left="708"/>
      <w:jc w:val="left"/>
    </w:pPr>
    <w:rPr>
      <w:rFonts w:ascii="Times New Roman" w:hAnsi="Times New Roman"/>
      <w:szCs w:val="24"/>
    </w:rPr>
  </w:style>
  <w:style w:type="character" w:customStyle="1" w:styleId="PargrafodaListaChar">
    <w:name w:val="Parágrafo da Lista Char"/>
    <w:aliases w:val="Lista Paragrafo em Preto Char,Texto Char,Corpo Texto Char"/>
    <w:link w:val="PargrafodaLista"/>
    <w:uiPriority w:val="1"/>
    <w:qFormat/>
    <w:locked/>
    <w:rsid w:val="003C1809"/>
    <w:rPr>
      <w:sz w:val="24"/>
      <w:szCs w:val="24"/>
      <w:lang w:val="pt-BR" w:eastAsia="pt-BR"/>
    </w:rPr>
  </w:style>
  <w:style w:type="paragraph" w:customStyle="1" w:styleId="CRCRJN2">
    <w:name w:val="[CRCRJ N2]"/>
    <w:basedOn w:val="PargrafodaLista"/>
    <w:link w:val="CRCRJN2Char"/>
    <w:qFormat/>
    <w:rsid w:val="003C1809"/>
    <w:pPr>
      <w:widowControl w:val="0"/>
      <w:numPr>
        <w:ilvl w:val="1"/>
        <w:numId w:val="7"/>
      </w:numPr>
      <w:tabs>
        <w:tab w:val="left" w:pos="1418"/>
      </w:tabs>
      <w:suppressAutoHyphens w:val="0"/>
      <w:spacing w:before="160" w:after="160" w:line="360" w:lineRule="auto"/>
      <w:jc w:val="both"/>
    </w:pPr>
    <w:rPr>
      <w:rFonts w:ascii="Arial" w:hAnsi="Arial" w:cs="Arial"/>
      <w:sz w:val="22"/>
      <w:szCs w:val="22"/>
    </w:rPr>
  </w:style>
  <w:style w:type="character" w:customStyle="1" w:styleId="CRCRJN2Char">
    <w:name w:val="[CRCRJ N2] Char"/>
    <w:basedOn w:val="Fontepargpadro"/>
    <w:link w:val="CRCRJN2"/>
    <w:rsid w:val="003C1809"/>
    <w:rPr>
      <w:rFonts w:ascii="Arial" w:hAnsi="Arial" w:cs="Arial"/>
      <w:sz w:val="22"/>
      <w:szCs w:val="22"/>
      <w:lang w:val="pt-BR" w:eastAsia="pt-BR"/>
    </w:rPr>
  </w:style>
  <w:style w:type="paragraph" w:customStyle="1" w:styleId="CRCRJN3">
    <w:name w:val="[CRCRJ N3]"/>
    <w:basedOn w:val="CRCRJN2"/>
    <w:qFormat/>
    <w:rsid w:val="003C1809"/>
    <w:pPr>
      <w:numPr>
        <w:ilvl w:val="2"/>
      </w:numPr>
      <w:tabs>
        <w:tab w:val="num" w:pos="360"/>
      </w:tabs>
    </w:pPr>
  </w:style>
  <w:style w:type="paragraph" w:customStyle="1" w:styleId="Default">
    <w:name w:val="Default"/>
    <w:rsid w:val="00472E48"/>
    <w:pPr>
      <w:autoSpaceDE w:val="0"/>
      <w:autoSpaceDN w:val="0"/>
      <w:adjustRightInd w:val="0"/>
    </w:pPr>
    <w:rPr>
      <w:rFonts w:ascii="Calibri" w:hAnsi="Calibri" w:cs="Calibri"/>
      <w:color w:val="000000"/>
      <w:sz w:val="24"/>
      <w:szCs w:val="24"/>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408249">
      <w:bodyDiv w:val="1"/>
      <w:marLeft w:val="0"/>
      <w:marRight w:val="0"/>
      <w:marTop w:val="0"/>
      <w:marBottom w:val="0"/>
      <w:divBdr>
        <w:top w:val="none" w:sz="0" w:space="0" w:color="auto"/>
        <w:left w:val="none" w:sz="0" w:space="0" w:color="auto"/>
        <w:bottom w:val="none" w:sz="0" w:space="0" w:color="auto"/>
        <w:right w:val="none" w:sz="0" w:space="0" w:color="auto"/>
      </w:divBdr>
    </w:div>
    <w:div w:id="722949249">
      <w:bodyDiv w:val="1"/>
      <w:marLeft w:val="0"/>
      <w:marRight w:val="0"/>
      <w:marTop w:val="0"/>
      <w:marBottom w:val="0"/>
      <w:divBdr>
        <w:top w:val="none" w:sz="0" w:space="0" w:color="auto"/>
        <w:left w:val="none" w:sz="0" w:space="0" w:color="auto"/>
        <w:bottom w:val="none" w:sz="0" w:space="0" w:color="auto"/>
        <w:right w:val="none" w:sz="0" w:space="0" w:color="auto"/>
      </w:divBdr>
    </w:div>
    <w:div w:id="788285096">
      <w:bodyDiv w:val="1"/>
      <w:marLeft w:val="0"/>
      <w:marRight w:val="0"/>
      <w:marTop w:val="0"/>
      <w:marBottom w:val="0"/>
      <w:divBdr>
        <w:top w:val="none" w:sz="0" w:space="0" w:color="auto"/>
        <w:left w:val="none" w:sz="0" w:space="0" w:color="auto"/>
        <w:bottom w:val="none" w:sz="0" w:space="0" w:color="auto"/>
        <w:right w:val="none" w:sz="0" w:space="0" w:color="auto"/>
      </w:divBdr>
    </w:div>
    <w:div w:id="836653149">
      <w:bodyDiv w:val="1"/>
      <w:marLeft w:val="0"/>
      <w:marRight w:val="0"/>
      <w:marTop w:val="0"/>
      <w:marBottom w:val="0"/>
      <w:divBdr>
        <w:top w:val="none" w:sz="0" w:space="0" w:color="auto"/>
        <w:left w:val="none" w:sz="0" w:space="0" w:color="auto"/>
        <w:bottom w:val="none" w:sz="0" w:space="0" w:color="auto"/>
        <w:right w:val="none" w:sz="0" w:space="0" w:color="auto"/>
      </w:divBdr>
    </w:div>
    <w:div w:id="904993668">
      <w:bodyDiv w:val="1"/>
      <w:marLeft w:val="0"/>
      <w:marRight w:val="0"/>
      <w:marTop w:val="0"/>
      <w:marBottom w:val="0"/>
      <w:divBdr>
        <w:top w:val="none" w:sz="0" w:space="0" w:color="auto"/>
        <w:left w:val="none" w:sz="0" w:space="0" w:color="auto"/>
        <w:bottom w:val="none" w:sz="0" w:space="0" w:color="auto"/>
        <w:right w:val="none" w:sz="0" w:space="0" w:color="auto"/>
      </w:divBdr>
    </w:div>
    <w:div w:id="1140269066">
      <w:bodyDiv w:val="1"/>
      <w:marLeft w:val="0"/>
      <w:marRight w:val="0"/>
      <w:marTop w:val="0"/>
      <w:marBottom w:val="0"/>
      <w:divBdr>
        <w:top w:val="none" w:sz="0" w:space="0" w:color="auto"/>
        <w:left w:val="none" w:sz="0" w:space="0" w:color="auto"/>
        <w:bottom w:val="none" w:sz="0" w:space="0" w:color="auto"/>
        <w:right w:val="none" w:sz="0" w:space="0" w:color="auto"/>
      </w:divBdr>
    </w:div>
    <w:div w:id="1392777151">
      <w:bodyDiv w:val="1"/>
      <w:marLeft w:val="0"/>
      <w:marRight w:val="0"/>
      <w:marTop w:val="0"/>
      <w:marBottom w:val="0"/>
      <w:divBdr>
        <w:top w:val="none" w:sz="0" w:space="0" w:color="auto"/>
        <w:left w:val="none" w:sz="0" w:space="0" w:color="auto"/>
        <w:bottom w:val="none" w:sz="0" w:space="0" w:color="auto"/>
        <w:right w:val="none" w:sz="0" w:space="0" w:color="auto"/>
      </w:divBdr>
    </w:div>
    <w:div w:id="1415736948">
      <w:bodyDiv w:val="1"/>
      <w:marLeft w:val="0"/>
      <w:marRight w:val="0"/>
      <w:marTop w:val="0"/>
      <w:marBottom w:val="0"/>
      <w:divBdr>
        <w:top w:val="none" w:sz="0" w:space="0" w:color="auto"/>
        <w:left w:val="none" w:sz="0" w:space="0" w:color="auto"/>
        <w:bottom w:val="none" w:sz="0" w:space="0" w:color="auto"/>
        <w:right w:val="none" w:sz="0" w:space="0" w:color="auto"/>
      </w:divBdr>
    </w:div>
    <w:div w:id="1528181224">
      <w:bodyDiv w:val="1"/>
      <w:marLeft w:val="0"/>
      <w:marRight w:val="0"/>
      <w:marTop w:val="0"/>
      <w:marBottom w:val="0"/>
      <w:divBdr>
        <w:top w:val="none" w:sz="0" w:space="0" w:color="auto"/>
        <w:left w:val="none" w:sz="0" w:space="0" w:color="auto"/>
        <w:bottom w:val="none" w:sz="0" w:space="0" w:color="auto"/>
        <w:right w:val="none" w:sz="0" w:space="0" w:color="auto"/>
      </w:divBdr>
    </w:div>
    <w:div w:id="1736388247">
      <w:bodyDiv w:val="1"/>
      <w:marLeft w:val="0"/>
      <w:marRight w:val="0"/>
      <w:marTop w:val="0"/>
      <w:marBottom w:val="0"/>
      <w:divBdr>
        <w:top w:val="none" w:sz="0" w:space="0" w:color="auto"/>
        <w:left w:val="none" w:sz="0" w:space="0" w:color="auto"/>
        <w:bottom w:val="none" w:sz="0" w:space="0" w:color="auto"/>
        <w:right w:val="none" w:sz="0" w:space="0" w:color="auto"/>
      </w:divBdr>
    </w:div>
    <w:div w:id="1965310240">
      <w:bodyDiv w:val="1"/>
      <w:marLeft w:val="0"/>
      <w:marRight w:val="0"/>
      <w:marTop w:val="0"/>
      <w:marBottom w:val="0"/>
      <w:divBdr>
        <w:top w:val="none" w:sz="0" w:space="0" w:color="auto"/>
        <w:left w:val="none" w:sz="0" w:space="0" w:color="auto"/>
        <w:bottom w:val="none" w:sz="0" w:space="0" w:color="auto"/>
        <w:right w:val="none" w:sz="0" w:space="0" w:color="auto"/>
      </w:divBdr>
    </w:div>
    <w:div w:id="20695729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crc.org.br" TargetMode="External"/><Relationship Id="rId2" Type="http://schemas.openxmlformats.org/officeDocument/2006/relationships/hyperlink" Target="mailto:crcrj@crcrj.org.br" TargetMode="External"/><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3" Type="http://schemas.openxmlformats.org/officeDocument/2006/relationships/hyperlink" Target="http://www.crc.org.br" TargetMode="External"/><Relationship Id="rId2" Type="http://schemas.openxmlformats.org/officeDocument/2006/relationships/hyperlink" Target="mailto:crcrj@crcrj.org.b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E270E-A833-4C09-A717-B1E45E4B3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6</Pages>
  <Words>2282</Words>
  <Characters>13048</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PROC</vt:lpstr>
    </vt:vector>
  </TitlesOfParts>
  <Company>CFC</Company>
  <LinksUpToDate>false</LinksUpToDate>
  <CharactersWithSpaces>15300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dc:title>
  <dc:subject/>
  <dc:creator>Jurid03</dc:creator>
  <cp:keywords/>
  <cp:lastModifiedBy>Jorge Luiz Garcia C Valente</cp:lastModifiedBy>
  <cp:revision>36</cp:revision>
  <cp:lastPrinted>2024-12-17T17:55:00Z</cp:lastPrinted>
  <dcterms:created xsi:type="dcterms:W3CDTF">2024-12-11T20:23:00Z</dcterms:created>
  <dcterms:modified xsi:type="dcterms:W3CDTF">2024-12-17T17:56:00Z</dcterms:modified>
</cp:coreProperties>
</file>